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java.lang.Comparable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&lt;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less than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  <w:br w:type="textWrapping"/>
        <w:t xml:space="preserve">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=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equal to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  <w:br w:type="textWrapping"/>
        <w:t xml:space="preserve">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&gt;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greater than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java.lang.Integer implements java.lang.Comparable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Integer(int value)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intValue()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java.lang.Double implements java.lang.Comparable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Double(double value)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doubleValue()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java.lang.String implements java.lang.Comparable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length()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substring(int from, int to)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the substring beginning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</w:t>
        <w:br w:type="textWrapping"/>
        <w:t xml:space="preserve"> 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ending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to-1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substring(int from)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substring(from, length())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indexOf(String s)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the index of the first occurrence of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s;</w:t>
        <w:br w:type="textWrapping"/>
        <w:t xml:space="preserve"> 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java.lang.Math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int abs(int x)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abs(double x)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pow(double base, double exponent)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sqrt(double x)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java.util.Random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nextInt(int n)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an integer in the range from 0 to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n-1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nextDouble()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java.util.ArrayList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add(Object x)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get(int index)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set(int index, Object x)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replaces the element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add(int index, Object x)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sliding elements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higher to the right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(adds 1 to their indices) and adjusts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remove(int index)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removes element from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sliding elements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higher to the left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(subtracts 1 from their indices) and adjusts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00" w:top="1200" w:left="120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-QR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Quick Reference - A Exam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