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DataContentHandlerFactory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DataContentHandlerFactory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defines a factory for DataContentHandlers. An implementation of this interface should map a MIME type into an instance of DataContentHandler. The design pattern for classes implementing this interface is the same as for the ContentHandler mechanism used in java.net.URL.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DataContentHandler object for the MIME type.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createDataContentHandler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createDataContentHandler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DataContentHandler object for the MIME type.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mimeType - the MIME type to create the DataContentHandler for.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DataContentHandler, or </w:t>
      </w:r>
      <w:r w:rsidDel="00000000" w:rsidR="00000000" w:rsidRPr="00000000">
        <w:rPr>
          <w:i w:val="1"/>
          <w:shd w:fill="auto" w:val="clear"/>
          <w:rtl w:val="0"/>
        </w:rPr>
        <w:t xml:space="preserve">null</w:t>
      </w:r>
      <w:r w:rsidDel="00000000" w:rsidR="00000000" w:rsidRPr="00000000">
        <w:rPr>
          <w:shd w:fill="auto" w:val="clear"/>
          <w:rtl w:val="0"/>
        </w:rPr>
        <w:t xml:space="preserve"> if none are found.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activation/DataContentHand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DataContentHandler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ContentHandlerFactory.html" TargetMode="External"/><Relationship Id="rId31" Type="http://schemas.openxmlformats.org/officeDocument/2006/relationships/hyperlink" Target="http://docs.google.com/javax/activation/DataHandler.html" TargetMode="External"/><Relationship Id="rId30" Type="http://schemas.openxmlformats.org/officeDocument/2006/relationships/hyperlink" Target="http://docs.google.com/javax/activation/DataContent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ataContentHandler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activation/DataContentHandlerFactory.html" TargetMode="External"/><Relationship Id="rId13" Type="http://schemas.openxmlformats.org/officeDocument/2006/relationships/hyperlink" Target="http://docs.google.com/javax/activation/DataContentHandl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activation/DataContentHandlerFacto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activation/DataHandl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aContentHandlerFacto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activation/DataContentHandlerFactory.html#createDataContentHandler(java.lang.String)" TargetMode="External"/><Relationship Id="rId18" Type="http://schemas.openxmlformats.org/officeDocument/2006/relationships/hyperlink" Target="http://docs.google.com/javax/activation/DataCont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