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DefaultEditorKit.BeepAction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javax.swing.text.DefaultEditorKit.BeepAction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DefaultEditorKit.BeepAction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beep.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DefaultEditorKit.BeepAction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DefaultEditorKit.BeepAction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DefaultEditorKit.BeepAction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Beep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Copy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Beep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Beep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BeepAction.html#DefaultEditorKit.Beep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Beep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beep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Beep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Beep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Copy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Beep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