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Answer Key</w:t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Chapter 3: Variables, Expressions, and Statements(pgs. 68-105)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sz w:val="24"/>
          <w:rtl w:val="0"/>
        </w:rPr>
        <w:t xml:space="preserve">Section 1: Variables, Expressions, and Statements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Variables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Data is not entered by you the :programmer. Instead, it comes from: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Users entering information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Data gathered as the program runs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To access this information after it has been stored, it must be named.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good variable name should reflect something about the information it represents.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There are some rules to follow as you create variable names: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Names may be up to forty characters(letter or numerals) long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Follow the InterCap method to name variables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Use capital letters to show how words or portions of words are put together 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Expressions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Expressions are used to calculate values.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Build expressions from variables and operators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Variables represent data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Operators represent the actions performed on the data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Five basic math operators: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Addition : +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Subtraction : -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Multiplication : *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Division : /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Exponentiation : ^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Visual Basic expressions follow  PEMDAS(parentheses, exponents, multiplication, division, addition, and subtraction.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Statements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statements of a program are the instructions you write that the computer executes.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One of the most common types of statements you will write is an assignment statement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An assignment statement evaluates an expression and assigns the value to a variable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Use the equal sign to show assignment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This statement can be a single value or a combination of values and variables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book to see how to translate algebraic expressions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sz w:val="24"/>
          <w:rtl w:val="0"/>
        </w:rPr>
        <w:t xml:space="preserve">Trying Out Expressions and Statements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Variables and Debugging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As opposed to algebraic variables, Visual Basic variables can change values as a program runs.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program is a process that unfolds in time, a sequence of instructions for the computer to carry out, which programmers specify in its entirety before the program is run.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bug is a deviation between the way a program is supposed to behave and the way it actually does.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The process of eliminating deviations is called debugging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The most common way to debug a program is to look at the values the program assigns to variables as it runs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You can stop a program while it is running by setting break points - these mark spots where you want the program to stop executing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book to learn how to use break points and how to program a digital clock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sz w:val="24"/>
          <w:rtl w:val="0"/>
        </w:rPr>
        <w:t xml:space="preserve">Data Types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Looking at the Different Types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eight different data types include: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Integer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Whole numbers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Range : -32,768 to +32,767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Long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Whole numbers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Range : -2,147,483,648 to +2,147,483,647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Visual Basic does not recognize numbers with commas in expressions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Single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Decimal numbers and whole numbers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Range : -3.402823E38 to -1.401298E-45 for negative numbers and 1.401298E-45 to 3.402823E38 for positive numbers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Currency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Dollar amounts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Singles can also be used, but in the conversion from decimal to binary and back, round-off error can occur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String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Characters including: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Text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Special characters such as the pound sign(#), the underscore (_), and the tilde(~)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Digits, 0-9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A set of characters contained in double quotes is called a string literal or string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Two types of variables to hold strings: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Fixed-length string variables hold only the number of characters you specify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Variable-length string variables can hold strings up to about 65,000 characters long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Variant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Numbers, strings, times, or dates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Takes up a lot of memory space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User Defined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These are detailed in Chapter 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Guided Notes</w:t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Chapter 3: Variables, Expressions, and Statements(pgs. 68-105)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sz w:val="24"/>
          <w:rtl w:val="0"/>
        </w:rPr>
        <w:t xml:space="preserve">Section 1: Variables, Expressions, and Statements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Variables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Data is not entered by you the :programmer. Instead, it comes from: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Users ___________ information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Data _________ as the program runs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To access this information after it has been stored, it must be ________.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good variable name should reflect something about the information it represents.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There are some rules to follow as you create variable names: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Names may be up to _____ characters(letter or numerals) long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Follow the InterCap method to name variables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Use capital letters to show how words or portions of words are put together 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Expressions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Expressions are used to calculate __________.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Build expressions from variables and operators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_________ represent data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______________ represent the actions performed on the data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Five basic math operators: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Addition : +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Subtraction : -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Multiplication : *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Division : /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Exponentiation : ^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Visual Basic expressions follow  ________ (parentheses, exponents, multiplication, division, addition, and subtraction.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Statements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statements of a program are the ________________ you write that the computer executes.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One of the most common types of statements you will write is an assignment statement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An assignment statement evaluates an expression and assigns the value to a variable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Use the ___________ sign to show assignment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This statement can be a single value or a combination of values and variables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book to see how to translate algebraic expressions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sz w:val="24"/>
          <w:rtl w:val="0"/>
        </w:rPr>
        <w:t xml:space="preserve">Trying Out Expressions and Statements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Variables and Debugging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As opposed to algebraic variables, Visual Basic variables can change values as a program runs.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program is a process that unfolds in time, a sequence of instructions for the computer to carry out, which programmers specify in its entirety before the program is run.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_______ is a deviation between the way a program is supposed to behave and the way it actually does.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The process of eliminating deviations is called _____________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The most common way to debug a program is to look at the values the program assigns to variables as it runs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You can stop a program while it is running by setting _______________ - these mark spots where you want the program to stop executing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book to learn how to use break points and how to program a digital clock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sz w:val="24"/>
          <w:rtl w:val="0"/>
        </w:rPr>
        <w:t xml:space="preserve">Data Types</w:t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 xml:space="preserve">Looking at the Different Types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eight different data types include: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Integer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_______ numbers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Range : -32,768 to +32,767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Long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Whole numbers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Range : -2,147,483,648 to +2,147,483,647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Visual Basic does not recognize numbers with ____________ in expressions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Single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Decimal numbers and whole numbers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Range : -3.402823E38 to -1.401298E-45 for negative numbers and 1.401298E-45 to 3.402823E38 for positive numbers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Currency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Dollar amounts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Singles can also be used, but in the conversion from decimal to binary and back, round-off error can occur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String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Characters including: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Text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Special characters such as the pound sign(#), the underscore (_), and the tilde(~)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Digits, 0-9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A set of characters contained in double quotes is called a ___________ or string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Two types of variables to hold strings: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Fixed-length string variables hold only the number of characters you specify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</w:pPr>
      <w:r w:rsidRPr="00000000" w:rsidR="00000000" w:rsidDel="00000000">
        <w:rPr>
          <w:rtl w:val="0"/>
        </w:rPr>
        <w:t xml:space="preserve">Variable-length string variables can hold strings up to about 65,000 characters long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Variant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Numbers, strings, times, or dates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Takes up a lot of ______________ space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User Defined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rtl w:val="0"/>
        </w:rPr>
        <w:t xml:space="preserve">These are detailed in Chapter 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4a86e8"/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Variables, Expressions, and Statements.docx</dc:title>
</cp:coreProperties>
</file>