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Creating and using Arrays of Controls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Often it is useful to create a set of controls that can be referred to by the control name plus index. In this way it is possible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Have a number of controls share the same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we might have a set of text boxes on the screen and want to highlight whichever one the mouse is over. This can be done by creating the text boxes as an array and programming the MouseMove event to highlight the current one (and de-highlight the previously selected one). With a control array, all the objects in the array respond to the programmed events, only one piece of code is needed to cover them all, thus avoiding the need to duplicate the code behind every individual control.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Have a set of controls do something where the function of each is related to its position in the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in the VB calculator application the command buttons representing the numbers 0-9 were created as a control array. The index position of each command button in the array corresponded to the number on its caption. Clicking any of these buttons executed the same piece of code, and the index of the button clicked was used to display the appropriate character ‘0’-‘9’ in the readout text box.</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How to create a control array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easy to do. Select a control, of the type you want the control array to be, from the toolbox and place it on a form in the normal way. Select this control by clicking on it and then choose ‘Copy’ from the ‘Edit’ menu. Next select ‘Paste’ from the same menu and you should see the following alert box displayed: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on ‘Yes’ to start a control array. Selecting ‘No’ will copy the control but will rename it and not start a control array. By this stage there should now be two controls on the form. Both will have the same name, but the first one created will be assigned the array index 0 and the second one array index 1. Keep selecting ‘Paste’ as many times as needed until you have the desired number of controls in your array.</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important thing to remember when referring to array elements is the index. Just to get the hang of using control arrays this task will change the background colour of all 5 text boxes in the array after clicking on a button.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create a form and place on it a set of five text boxes (see screenshot below) which are all part of the same control array. Now, set the ‘forecolor’ property of all the text boxes to yellow. This can be done by clicking and dragging (starting just top left of the first box and finishing just bottom right of the last one) to select all the boxes, then setting the colour as usual from the properties window.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 a command button to the form and place the following code behind the ‘click’ event.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cmdGo_Click ()</w:t>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br w:type="textWrapping"/>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i = 0 </w:t>
      </w:r>
      <w:r w:rsidDel="00000000" w:rsidR="00000000" w:rsidRPr="00000000">
        <w:rPr>
          <w:rFonts w:ascii="Courier" w:cs="Courier" w:eastAsia="Courier" w:hAnsi="Courier"/>
          <w:b w:val="1"/>
          <w:color w:val="23238e"/>
          <w:shd w:fill="auto" w:val="clear"/>
          <w:rtl w:val="0"/>
        </w:rPr>
        <w:t xml:space="preserve">To</w:t>
      </w:r>
      <w:r w:rsidDel="00000000" w:rsidR="00000000" w:rsidRPr="00000000">
        <w:rPr>
          <w:rFonts w:ascii="Courier" w:cs="Courier" w:eastAsia="Courier" w:hAnsi="Courier"/>
          <w:b w:val="1"/>
          <w:shd w:fill="auto" w:val="clear"/>
          <w:rtl w:val="0"/>
        </w:rPr>
        <w:t xml:space="preserve"> 4</w:t>
        <w:br w:type="textWrapping"/>
        <w:t xml:space="preserve">      text1(i).BackColor = QBColor(i)</w:t>
        <w:br w:type="textWrapping"/>
        <w:t xml:space="preserve">      text1(i).Text = i</w:t>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t xml:space="preserve"> i</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 the program and make sure that you thoroughly understand what it does.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 #2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Keep the same interface as Task #1 above, but remove the command button. Next create a status bar </w:t>
      </w: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at the bottom of the form and set its ‘Style’ property to sbrSimple. Program the ‘MouseMove’ event of Text1() so that: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the mouse moves over the text boxes, the backcolor of the current one turns deep red and all the others are gray.</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status bar lists which text box the mouse is currently on, e.g. “The mouse is now over Text1(3)”.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parameter (‘index’) of the ‘MouseMove’ event subroutine is an integer holding the element number of the textbox control currently being moved over. This parameter variable is used in the code listed below. The subroutine works by using a for loop which goes round each element of the control array and checks whether it is the same number as the ‘index’ parameter. If it is then it sets the background colour to deep red, but if not it sets it to dark grey.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Text1_MouseMove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index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Button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Shift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X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t xml:space="preserve">, Y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declare a variable to use as a counter</w:t>
      </w:r>
      <w:r w:rsidDel="00000000" w:rsidR="00000000" w:rsidRPr="00000000">
        <w:rPr>
          <w:rFonts w:ascii="Courier" w:cs="Courier" w:eastAsia="Courier" w:hAnsi="Courier"/>
          <w:b w:val="1"/>
          <w:shd w:fill="auto" w:val="clear"/>
          <w:rtl w:val="0"/>
        </w:rPr>
        <w:br w:type="textWrapping"/>
        <w:br w:type="textWrapping"/>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i = 0 </w:t>
      </w:r>
      <w:r w:rsidDel="00000000" w:rsidR="00000000" w:rsidRPr="00000000">
        <w:rPr>
          <w:rFonts w:ascii="Courier" w:cs="Courier" w:eastAsia="Courier" w:hAnsi="Courier"/>
          <w:b w:val="1"/>
          <w:color w:val="23238e"/>
          <w:shd w:fill="auto" w:val="clear"/>
          <w:rtl w:val="0"/>
        </w:rPr>
        <w:t xml:space="preserve">To</w:t>
      </w:r>
      <w:r w:rsidDel="00000000" w:rsidR="00000000" w:rsidRPr="00000000">
        <w:rPr>
          <w:rFonts w:ascii="Courier" w:cs="Courier" w:eastAsia="Courier" w:hAnsi="Courier"/>
          <w:b w:val="1"/>
          <w:shd w:fill="auto" w:val="clear"/>
          <w:rtl w:val="0"/>
        </w:rPr>
        <w:t xml:space="preserve"> 4        </w:t>
      </w:r>
      <w:r w:rsidDel="00000000" w:rsidR="00000000" w:rsidRPr="00000000">
        <w:rPr>
          <w:rFonts w:ascii="Courier" w:cs="Courier" w:eastAsia="Courier" w:hAnsi="Courier"/>
          <w:b w:val="1"/>
          <w:color w:val="008000"/>
          <w:shd w:fill="auto" w:val="clear"/>
          <w:rtl w:val="0"/>
        </w:rPr>
        <w:t xml:space="preserve">' because there are five text boxes</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i = index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this is the one to highlight</w:t>
      </w:r>
      <w:r w:rsidDel="00000000" w:rsidR="00000000" w:rsidRPr="00000000">
        <w:rPr>
          <w:rFonts w:ascii="Courier" w:cs="Courier" w:eastAsia="Courier" w:hAnsi="Courier"/>
          <w:b w:val="1"/>
          <w:shd w:fill="auto" w:val="clear"/>
          <w:rtl w:val="0"/>
        </w:rPr>
        <w:br w:type="textWrapping"/>
        <w:t xml:space="preserve">        text1(i).BackColor = QBColor(4)   </w:t>
      </w:r>
      <w:r w:rsidDel="00000000" w:rsidR="00000000" w:rsidRPr="00000000">
        <w:rPr>
          <w:rFonts w:ascii="Courier" w:cs="Courier" w:eastAsia="Courier" w:hAnsi="Courier"/>
          <w:b w:val="1"/>
          <w:color w:val="008000"/>
          <w:shd w:fill="auto" w:val="clear"/>
          <w:rtl w:val="0"/>
        </w:rPr>
        <w:t xml:space="preserve">' deep red</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br w:type="textWrapping"/>
        <w:t xml:space="preserve">        text1(i).BackColor = QBColor(8)   </w:t>
      </w:r>
      <w:r w:rsidDel="00000000" w:rsidR="00000000" w:rsidRPr="00000000">
        <w:rPr>
          <w:rFonts w:ascii="Courier" w:cs="Courier" w:eastAsia="Courier" w:hAnsi="Courier"/>
          <w:b w:val="1"/>
          <w:color w:val="008000"/>
          <w:shd w:fill="auto" w:val="clear"/>
          <w:rtl w:val="0"/>
        </w:rPr>
        <w:t xml:space="preserve">' dark grey</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t xml:space="preserve"> i</w:t>
        <w:br w:type="textWrapping"/>
        <w:br w:type="textWrapping"/>
        <w:t xml:space="preserve">    StatusBar1.SimpleText = "The mouse is now over Text1(" &amp; Index &amp; ")"</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 #3</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used in Task #2 solves the problem but is a bit inefficient. For example, every time the mouse moves </w:t>
      </w:r>
      <w:r w:rsidDel="00000000" w:rsidR="00000000" w:rsidRPr="00000000">
        <w:rPr>
          <w:i w:val="1"/>
          <w:shd w:fill="auto" w:val="clear"/>
          <w:rtl w:val="0"/>
        </w:rPr>
        <w:t xml:space="preserve">all</w:t>
      </w:r>
      <w:r w:rsidDel="00000000" w:rsidR="00000000" w:rsidRPr="00000000">
        <w:rPr>
          <w:shd w:fill="auto" w:val="clear"/>
          <w:rtl w:val="0"/>
        </w:rPr>
        <w:t xml:space="preserve"> textbox backgrounds are reset. In practice only </w:t>
      </w:r>
      <w:r w:rsidDel="00000000" w:rsidR="00000000" w:rsidRPr="00000000">
        <w:rPr>
          <w:i w:val="1"/>
          <w:shd w:fill="auto" w:val="clear"/>
          <w:rtl w:val="0"/>
        </w:rPr>
        <w:t xml:space="preserve">two</w:t>
      </w:r>
      <w:r w:rsidDel="00000000" w:rsidR="00000000" w:rsidRPr="00000000">
        <w:rPr>
          <w:shd w:fill="auto" w:val="clear"/>
          <w:rtl w:val="0"/>
        </w:rPr>
        <w:t xml:space="preserve"> textboxes can change at any one time: the textbox under the mouse (change to deep red), and the old textbox which was under the mouse which now needs to be turned back to dark grey once again. Because Task #2 sets all textboxes on every move, regardless of whether they need to be changed or not, the textboxes can seem to flicker a bit when the program is run.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inefficiency problem can be solved by modifying the Task #2 code so that only the new and previous textbox backgrounds are ever altered. The code to do this could look somthing like: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Text1_MouseMove (index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Button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Shift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X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t xml:space="preserve">, Y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t xml:space="preserve">)</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Static</w:t>
      </w:r>
      <w:r w:rsidDel="00000000" w:rsidR="00000000" w:rsidRPr="00000000">
        <w:rPr>
          <w:rFonts w:ascii="Courier" w:cs="Courier" w:eastAsia="Courier" w:hAnsi="Courier"/>
          <w:b w:val="1"/>
          <w:shd w:fill="auto" w:val="clear"/>
          <w:rtl w:val="0"/>
        </w:rPr>
        <w:t xml:space="preserve"> bytPrevious </w:t>
      </w:r>
      <w:r w:rsidDel="00000000" w:rsidR="00000000" w:rsidRPr="00000000">
        <w:rPr>
          <w:rFonts w:ascii="Courier" w:cs="Courier" w:eastAsia="Courier" w:hAnsi="Courier"/>
          <w:b w:val="1"/>
          <w:color w:val="23238e"/>
          <w:shd w:fill="auto" w:val="clear"/>
          <w:rtl w:val="0"/>
        </w:rPr>
        <w:t xml:space="preserve">as Byte</w:t>
      </w:r>
      <w:r w:rsidDel="00000000" w:rsidR="00000000" w:rsidRPr="00000000">
        <w:rPr>
          <w:rFonts w:ascii="Courier" w:cs="Courier" w:eastAsia="Courier" w:hAnsi="Courier"/>
          <w:b w:val="1"/>
          <w:shd w:fill="auto" w:val="clear"/>
          <w:rtl w:val="0"/>
        </w:rPr>
        <w:br w:type="textWrapping"/>
        <w:br w:type="textWrapping"/>
        <w:br w:type="textWrapping"/>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Index &lt;&gt; bytPrevious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br w:type="textWrapping"/>
        <w:t xml:space="preserve">      Text1(Index).BackColor = QBColor(4)       </w:t>
      </w:r>
      <w:r w:rsidDel="00000000" w:rsidR="00000000" w:rsidRPr="00000000">
        <w:rPr>
          <w:rFonts w:ascii="Courier" w:cs="Courier" w:eastAsia="Courier" w:hAnsi="Courier"/>
          <w:b w:val="1"/>
          <w:color w:val="008000"/>
          <w:shd w:fill="auto" w:val="clear"/>
          <w:rtl w:val="0"/>
        </w:rPr>
        <w:t xml:space="preserve">' set new to deep red</w:t>
      </w:r>
      <w:r w:rsidDel="00000000" w:rsidR="00000000" w:rsidRPr="00000000">
        <w:rPr>
          <w:rFonts w:ascii="Courier" w:cs="Courier" w:eastAsia="Courier" w:hAnsi="Courier"/>
          <w:b w:val="1"/>
          <w:shd w:fill="auto" w:val="clear"/>
          <w:rtl w:val="0"/>
        </w:rPr>
        <w:br w:type="textWrapping"/>
        <w:br w:type="textWrapping"/>
        <w:t xml:space="preserve">      Text1(bytPrevious).BackColor = QBColor(8) </w:t>
      </w:r>
      <w:r w:rsidDel="00000000" w:rsidR="00000000" w:rsidRPr="00000000">
        <w:rPr>
          <w:rFonts w:ascii="Courier" w:cs="Courier" w:eastAsia="Courier" w:hAnsi="Courier"/>
          <w:b w:val="1"/>
          <w:color w:val="008000"/>
          <w:shd w:fill="auto" w:val="clear"/>
          <w:rtl w:val="0"/>
        </w:rPr>
        <w:t xml:space="preserve">' set previous to dark grey</w:t>
      </w:r>
      <w:r w:rsidDel="00000000" w:rsidR="00000000" w:rsidRPr="00000000">
        <w:rPr>
          <w:rFonts w:ascii="Courier" w:cs="Courier" w:eastAsia="Courier" w:hAnsi="Courier"/>
          <w:b w:val="1"/>
          <w:shd w:fill="auto" w:val="clear"/>
          <w:rtl w:val="0"/>
        </w:rPr>
        <w:br w:type="textWrapping"/>
        <w:br w:type="textWrapping"/>
        <w:t xml:space="preserve">      bytPrevious = Index                       </w:t>
      </w:r>
      <w:r w:rsidDel="00000000" w:rsidR="00000000" w:rsidRPr="00000000">
        <w:rPr>
          <w:rFonts w:ascii="Courier" w:cs="Courier" w:eastAsia="Courier" w:hAnsi="Courier"/>
          <w:b w:val="1"/>
          <w:color w:val="008000"/>
          <w:shd w:fill="auto" w:val="clear"/>
          <w:rtl w:val="0"/>
        </w:rPr>
        <w:t xml:space="preserve">' store current index in prev</w:t>
      </w:r>
      <w:r w:rsidDel="00000000" w:rsidR="00000000" w:rsidRPr="00000000">
        <w:rPr>
          <w:rFonts w:ascii="Courier" w:cs="Courier" w:eastAsia="Courier" w:hAnsi="Courier"/>
          <w:b w:val="1"/>
          <w:shd w:fill="auto" w:val="clear"/>
          <w:rtl w:val="0"/>
        </w:rPr>
        <w:br w:type="textWrapping"/>
        <w:br w:type="textWrapping"/>
        <w:br w:type="textWrapping"/>
        <w:br w:type="textWrapping"/>
        <w:t xml:space="preserve">      StatusBar1.SimpleText = "The mouse is now over Text1(" &amp; Index &amp; ")"</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br w:type="textWrapping"/>
        <w:br w:type="textWrapping"/>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variable ‘bytPrevious’ is declared as a local variable because this is the only subroutine in the whole program which needs access to it. However, it has been declared with the ‘Static’ keyword instead of ‘Dim’ so that its value is preserved after the subroutine finishes. Standard (Dim) local variables are always destroyed after the subroutine in which they are declared terminates.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The </w:t>
      </w:r>
      <w:hyperlink r:id="rId13">
        <w:r w:rsidDel="00000000" w:rsidR="00000000" w:rsidRPr="00000000">
          <w:rPr>
            <w:color w:val="0000ee"/>
            <w:u w:val="single"/>
            <w:shd w:fill="auto" w:val="clear"/>
            <w:rtl w:val="0"/>
          </w:rPr>
          <w:t xml:space="preserve">Tic Tac Toe example</w:t>
        </w:r>
      </w:hyperlink>
      <w:r w:rsidDel="00000000" w:rsidR="00000000" w:rsidRPr="00000000">
        <w:rPr>
          <w:shd w:fill="auto" w:val="clear"/>
          <w:rtl w:val="0"/>
        </w:rPr>
        <w:t xml:space="preserve"> uses a control array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hyperlink r:id="rId15">
        <w:r w:rsidDel="00000000" w:rsidR="00000000" w:rsidRPr="00000000">
          <w:rPr>
            <w:color w:val="0000ee"/>
            <w:u w:val="single"/>
            <w:shd w:fill="auto" w:val="clear"/>
            <w:rtl w:val="0"/>
          </w:rPr>
          <w:t xml:space="preserve"> Tutorial 5</w:t>
        </w:r>
      </w:hyperlink>
      <w:r w:rsidDel="00000000" w:rsidR="00000000" w:rsidRPr="00000000">
        <w:rPr>
          <w:shd w:fill="auto" w:val="clear"/>
          <w:rtl w:val="0"/>
        </w:rPr>
        <w:t xml:space="preserve"> (Menus and List Manipulation)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color w:val="0000ee"/>
            <w:u w:val="single"/>
            <w:shd w:fill="auto" w:val="clear"/>
            <w:rtl w:val="0"/>
          </w:rPr>
          <w:t xml:space="preserve"> Tutorial 7</w:t>
        </w:r>
      </w:hyperlink>
      <w:r w:rsidDel="00000000" w:rsidR="00000000" w:rsidRPr="00000000">
        <w:rPr>
          <w:shd w:fill="auto" w:val="clear"/>
          <w:rtl w:val="0"/>
        </w:rPr>
        <w:t xml:space="preserve"> (Vertical &amp; Horizontal Scroll Bars and Animation)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hyperlink" Target="ftp://ftp.dcs.napier.ac.uk/pub/s.wilkinson/VB50/tictactoe.zip"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docs.google.com/tut5.html" TargetMode="External"/><Relationship Id="rId14" Type="http://schemas.openxmlformats.org/officeDocument/2006/relationships/image" Target="media/image4.png"/><Relationship Id="rId17" Type="http://schemas.openxmlformats.org/officeDocument/2006/relationships/hyperlink" Target="http://docs.google.com/dvbhome.html"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docs.google.com/tut7.html" TargetMode="External"/><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