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Object Control Arrays in VB.Net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Form1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Inherits System.Windows.Forms.Form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#Region " Windows Form Designer generated code "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Dim LabelArray(4) As Label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'declare an array of labels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Private Sub Form1_Load(ByVal sender As System.Object, ByVal e As System.EventArgs) Handles MyBase.Load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SetControlArray()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End Sub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Sub SetControlArray()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LabelArray(1) = Label1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LabelArray(2) = Label2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LabelArray(3) = Label3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LabelArray(4) = Label4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End Sub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Sub Button1_Click( ByVal sender As System.Object, ByVal e As System.EventArgs) Handle Button1.Click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'Button 1 Clear Array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Dim a As Integer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For a = 1 To 4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LabelArray(a).Text = ""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Next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End Sub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Private Sub Button2_Click( ByVal sender As System.Object, ByVal e As System.EventArgs) Handles Button2.Click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'Button 2 Fill  Array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Dim a As Integer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For a = 1 To 4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LabelArray(a).Text = _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"Control Array " &amp; CStr(a)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Next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End Sub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End Class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