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Eclipse Public License - v 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1. DEFINITIONS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"Contribution" means: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 in the case of the initial Contributor, the initial code and documentation distributed under this Agreement, 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b) in the case of each subsequent Contributor: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 changes to the Program, 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ii) additions to the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"Contributor" means any person or entity that distributes the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"Program" means the Contributions distributed in accordance with this Agreement.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"Recipient" means anyone who receives the Program under this Agreement, including all Contributors.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 GRANT OF RIGHTS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A Contributor may choose to distribute the Program in object code form under its own license agreement, provided that: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 it complies with the terms and conditions of this Agreement; 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b) its license agreement: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When the Program is made available in source code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 it must be made available under this Agreement; 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b) a copy of this Agreement must be included with each copy of the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Contributors may not remove or alter any copyright notices contained within the Program.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4. COMMERCIAL DISTRIBUTION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5. NO WARRANTY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6. DISCLAIMER OF LIABILITY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7. GENERAL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Fonts w:ascii="Times" w:cs="Times" w:eastAsia="Times" w:hAnsi="Times"/>
          <w:sz w:val="20"/>
          <w:szCs w:val="20"/>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