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 and Timing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Task-Focused UI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Java Development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Context and Timing data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How do I prevent code checked out from polluting my task context?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When checking out a new project, you must first deactivate the active task. Otherwise all newly created files will become interesting.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Why do I see strange elapsed times on my Planning tab?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Some platform/jvm combinations can fill with invalid timestamps. This is known to have happened on Mac OSX 10.4 with Java 1.5.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bug 207419</w:t>
        </w:r>
      </w:hyperlink>
      <w:r w:rsidDel="00000000" w:rsidR="00000000" w:rsidRPr="00000000">
        <w:rPr>
          <w:rtl w:val="0"/>
        </w:rPr>
        <w:t xml:space="preserve">. To resolve you can try and manually edit &lt;workspace&gt;/.metadata/.mylyn/contexts/activity.xml.zip.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Is the backwards compatibility and refactoring of task context handled?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Task List and Context Store are compatible across all currently-supported Eclipse versions. This means that you can use the same .mylyn data in both Eclipse 3.x.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elements have been renamed they may not appear as interesting when the context is activated.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Task-Focused UI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Java Development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bugs.eclipse.org/bugs/show_bug.cgi?id=207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