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 w:after="40"/>
        <w:jc w:val="center"/>
      </w:pPr>
      <w:r>
        <w:rPr>
          <w:rFonts w:ascii="Arial" w:hAnsi="Arial" w:eastAsia="黑体"/>
          <w:b/>
          <w:sz w:val="40"/>
        </w:rPr>
        <w:t>VR 遥操作 RM65 项目</w:t>
      </w:r>
    </w:p>
    <w:p>
      <w:pPr>
        <w:spacing w:after="40"/>
        <w:jc w:val="center"/>
      </w:pPr>
      <w:r>
        <w:rPr>
          <w:rFonts w:ascii="Arial" w:hAnsi="Arial" w:eastAsia="黑体"/>
          <w:b/>
          <w:sz w:val="32"/>
        </w:rPr>
        <w:t>论文路线调研与数据集主线方案</w:t>
      </w:r>
    </w:p>
    <w:p>
      <w:pPr>
        <w:spacing w:after="360"/>
        <w:jc w:val="center"/>
      </w:pPr>
      <w:r>
        <w:rPr>
          <w:rFonts w:ascii="Times New Roman" w:hAnsi="Times New Roman" w:eastAsia="楷体"/>
          <w:color w:val="555555"/>
          <w:sz w:val="24"/>
        </w:rPr>
        <w:t>—— 面向 CCF A 的可行性论证与实施计划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759"/>
        <w:gridCol w:w="4759"/>
      </w:tblGrid>
      <w:tr>
        <w:tc>
          <w:tcPr>
            <w:tcW w:type="dxa" w:w="2041"/>
            <w:shd w:val="clear" w:color="auto" w:fill="E8EEF7"/>
          </w:tcPr>
          <w:p>
            <w:pPr>
              <w:spacing w:after="20"/>
            </w:pPr>
            <w:r/>
            <w:r>
              <w:rPr>
                <w:rFonts w:ascii="Arial" w:hAnsi="Arial" w:eastAsia="黑体"/>
                <w:b/>
                <w:sz w:val="20"/>
              </w:rPr>
              <w:t>项目</w:t>
            </w:r>
          </w:p>
        </w:tc>
        <w:tc>
          <w:tcPr>
            <w:tcW w:type="dxa" w:w="7030"/>
            <w:shd w:val="clear" w:color="auto" w:fill="E8EEF7"/>
          </w:tcPr>
          <w:p>
            <w:pPr>
              <w:spacing w:after="20"/>
            </w:pPr>
            <w:r/>
            <w:r>
              <w:rPr>
                <w:rFonts w:ascii="Arial" w:hAnsi="Arial" w:eastAsia="黑体"/>
                <w:b/>
                <w:sz w:val="20"/>
              </w:rPr>
              <w:t>内容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20"/>
              </w:rPr>
              <w:t>文档日期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20"/>
              </w:rPr>
              <w:t>2026-09-24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20"/>
              </w:rPr>
              <w:t>项目仓库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20"/>
              </w:rPr>
              <w:t>vr-teleop-rm65（PICO 头显 + XRoboToolkit → Realman RM65 六轴机械臂）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20"/>
              </w:rPr>
              <w:t>调研范围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20"/>
              </w:rPr>
              <w:t>2023–2025 年 VR 遥操作、演示数据采集、控制层共 5 个子方向，约 45 篇代表性工作逐条核验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20"/>
              </w:rPr>
              <w:t>当前生效 CCF 目录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20"/>
              </w:rPr>
              <w:t>第七版（2026-03-31 发布，2026-04-09 勘误）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20"/>
              </w:rPr>
              <w:t>本方案目标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20"/>
              </w:rPr>
              <w:t>以「构建并发表遥操作演示数据集」为主线，冲击 CCF A</w:t>
            </w:r>
          </w:p>
        </w:tc>
      </w:tr>
    </w:tbl>
    <w:p>
      <w:pPr>
        <w:spacing w:after="40"/>
      </w:pPr>
    </w:p>
    <w:p>
      <w:pPr>
        <w:pStyle w:val="Heading1"/>
        <w:spacing w:before="280" w:after="120"/>
      </w:pPr>
      <w:r>
        <w:rPr>
          <w:rFonts w:ascii="Arial" w:hAnsi="Arial" w:eastAsia="黑体"/>
          <w:b/>
          <w:sz w:val="32"/>
        </w:rPr>
        <w:t>一、摘要</w:t>
      </w:r>
    </w:p>
    <w:p>
      <w:r>
        <w:rPr>
          <w:rFonts w:ascii="Times New Roman" w:hAnsi="Times New Roman" w:eastAsia="宋体"/>
          <w:b w:val="0"/>
          <w:sz w:val="21"/>
        </w:rPr>
        <w:t>本项目已完成一套可运行的 VR 遥操作工程系统（仿真 + 真机两条链路，含侧装映射、阻尼最小二乘局部逆解、奇异点保护与故障锁存安全层），工程完成度较高。但经系统调研后得到一个必须正视的判断：</w:t>
      </w:r>
    </w:p>
    <w:p>
      <w:r>
        <w:rPr>
          <w:rFonts w:ascii="Times New Roman" w:hAnsi="Times New Roman" w:eastAsia="宋体"/>
          <w:b/>
          <w:color w:val="B03020"/>
          <w:sz w:val="21"/>
        </w:rPr>
        <w:t>按现状无法发表 CCF A 论文。缺的不是工程量，而是一个「别人还不知道的结论」。</w:t>
      </w:r>
    </w:p>
    <w:p>
      <w:r>
        <w:rPr>
          <w:rFonts w:ascii="Times New Roman" w:hAnsi="Times New Roman" w:eastAsia="宋体"/>
          <w:b w:val="0"/>
          <w:sz w:val="21"/>
        </w:rPr>
        <w:t>调研得出以下五条结论：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73"/>
        <w:gridCol w:w="3173"/>
        <w:gridCol w:w="3173"/>
      </w:tblGrid>
      <w:tr>
        <w:tc>
          <w:tcPr>
            <w:tcW w:type="dxa" w:w="510"/>
            <w:shd w:val="clear" w:color="auto" w:fill="E8EEF7"/>
          </w:tcPr>
          <w:p>
            <w:pPr>
              <w:spacing w:after="20"/>
            </w:pPr>
            <w:r/>
            <w:r>
              <w:rPr>
                <w:rFonts w:ascii="Arial" w:hAnsi="Arial" w:eastAsia="黑体"/>
                <w:b/>
                <w:sz w:val="19"/>
              </w:rPr>
              <w:t>#</w:t>
            </w:r>
          </w:p>
        </w:tc>
        <w:tc>
          <w:tcPr>
            <w:tcW w:type="dxa" w:w="6236"/>
            <w:shd w:val="clear" w:color="auto" w:fill="E8EEF7"/>
          </w:tcPr>
          <w:p>
            <w:pPr>
              <w:spacing w:after="20"/>
            </w:pPr>
            <w:r/>
            <w:r>
              <w:rPr>
                <w:rFonts w:ascii="Arial" w:hAnsi="Arial" w:eastAsia="黑体"/>
                <w:b/>
                <w:sz w:val="19"/>
              </w:rPr>
              <w:t>结论</w:t>
            </w:r>
          </w:p>
        </w:tc>
        <w:tc>
          <w:tcPr>
            <w:tcW w:type="dxa" w:w="2324"/>
            <w:shd w:val="clear" w:color="auto" w:fill="E8EEF7"/>
          </w:tcPr>
          <w:p>
            <w:pPr>
              <w:spacing w:after="20"/>
            </w:pPr>
            <w:r/>
            <w:r>
              <w:rPr>
                <w:rFonts w:ascii="Arial" w:hAnsi="Arial" w:eastAsia="黑体"/>
                <w:b/>
                <w:sz w:val="19"/>
              </w:rPr>
              <w:t>依据</w:t>
            </w:r>
          </w:p>
        </w:tc>
      </w:tr>
      <w:tr>
        <w:tc>
          <w:tcPr>
            <w:tcW w:type="dxa" w:w="510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1</w:t>
            </w:r>
          </w:p>
        </w:tc>
        <w:tc>
          <w:tcPr>
            <w:tcW w:type="dxa" w:w="6236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机器人赛道本身没有 CCF A。ICRA 是 CCF B，IROS 是 CCF C，IEEE T-RO 是 B，RA-L / RSS / CoRL 均不在 CCF 目录内。</w:t>
            </w:r>
          </w:p>
        </w:tc>
        <w:tc>
          <w:tcPr>
            <w:tcW w:type="dxa" w:w="2324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第七版目录逐条核实</w:t>
            </w:r>
          </w:p>
        </w:tc>
      </w:tr>
      <w:tr>
        <w:tc>
          <w:tcPr>
            <w:tcW w:type="dxa" w:w="510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2</w:t>
            </w:r>
          </w:p>
        </w:tc>
        <w:tc>
          <w:tcPr>
            <w:tcW w:type="dxa" w:w="6236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CCF A 的真实入口只有三条：HCI/VR（CHI、UIST、IEEE VR、TVCG）、网络（INFOCOM、MobiCom、JSAC、TMC）、形式化与软工（CAV、IEEE TSE）。</w:t>
            </w:r>
          </w:p>
        </w:tc>
        <w:tc>
          <w:tcPr>
            <w:tcW w:type="dxa" w:w="2324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第七版目录</w:t>
            </w:r>
          </w:p>
        </w:tc>
      </w:tr>
      <w:tr>
        <w:tc>
          <w:tcPr>
            <w:tcW w:type="dxa" w:w="510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3</w:t>
            </w:r>
          </w:p>
        </w:tc>
        <w:tc>
          <w:tcPr>
            <w:tcW w:type="dxa" w:w="6236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在 CCF A 中，「数据集」路线的门比「系统」路线更宽：NeurIPS 专设 Datasets &amp; Benchmarks track，CVPR / ICML / ICLR 均接收数据集与基准类工作。</w:t>
            </w:r>
          </w:p>
        </w:tc>
        <w:tc>
          <w:tcPr>
            <w:tcW w:type="dxa" w:w="2324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NeurIPS 官方 FAQ；RoboTwin = CVPR 2025 Highlight；RoboCasa365 = ICLR 2026</w:t>
            </w:r>
          </w:p>
        </w:tc>
      </w:tr>
      <w:tr>
        <w:tc>
          <w:tcPr>
            <w:tcW w:type="dxa" w:w="510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4</w:t>
            </w:r>
          </w:p>
        </w:tc>
        <w:tc>
          <w:tcPr>
            <w:tcW w:type="dxa" w:w="6236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但本项目的现有数据规模与头部数据集相差 2–3 个数量级，硬拼规模不可行，必须换一条「别人没有的轴」来竞争。</w:t>
            </w:r>
          </w:p>
        </w:tc>
        <w:tc>
          <w:tcPr>
            <w:tcW w:type="dxa" w:w="2324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见 §4.1 规模对照</w:t>
            </w:r>
          </w:p>
        </w:tc>
      </w:tr>
      <w:tr>
        <w:tc>
          <w:tcPr>
            <w:tcW w:type="dxa" w:w="510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5</w:t>
            </w:r>
          </w:p>
        </w:tc>
        <w:tc>
          <w:tcPr>
            <w:tcW w:type="dxa" w:w="6236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已核实出三条空白轴：PICO 头显、机械臂安装朝向、运动学约束事件标注。其中后两条足以支撑一个明确的科学问题。</w:t>
            </w:r>
          </w:p>
        </w:tc>
        <w:tc>
          <w:tcPr>
            <w:tcW w:type="dxa" w:w="2324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约 45 篇逐条核验 + 数据集核验报告</w:t>
            </w:r>
          </w:p>
        </w:tc>
      </w:tr>
    </w:tbl>
    <w:p>
      <w:pPr>
        <w:spacing w:after="40"/>
      </w:pPr>
    </w:p>
    <w:p>
      <w:r>
        <w:rPr>
          <w:rFonts w:ascii="Times New Roman" w:hAnsi="Times New Roman" w:eastAsia="宋体"/>
          <w:b/>
          <w:sz w:val="21"/>
        </w:rPr>
        <w:t>本方案的核心科学问题：</w:t>
      </w:r>
    </w:p>
    <w:p>
      <w:pPr>
        <w:spacing w:after="160"/>
        <w:ind w:left="454"/>
      </w:pPr>
      <w:r>
        <w:rPr>
          <w:rFonts w:ascii="Times New Roman" w:hAnsi="Times New Roman" w:eastAsia="楷体"/>
          <w:b/>
          <w:sz w:val="23"/>
        </w:rPr>
        <w:t>当机器人本体不变、仅安装朝向改变时，学到的策略会失效吗？如果失效，主因是视觉（操作者看到的世界转了）还是动作空间（基座坐标系与重力方向变了）？</w:t>
      </w:r>
    </w:p>
    <w:p>
      <w:r>
        <w:rPr>
          <w:rFonts w:ascii="Times New Roman" w:hAnsi="Times New Roman" w:eastAsia="宋体"/>
          <w:b/>
          <w:sz w:val="21"/>
        </w:rPr>
        <w:t>本方案需要导师确认三件事（详见 §6）：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sz w:val="21"/>
        </w:rPr>
        <w:t>Datasets &amp; Benchmarks track 的论文，本校是否认定为 CCF A 会议论文；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sz w:val="21"/>
        </w:rPr>
        <w:t>RM65 是否具备更换安装朝向的物理条件（这是本数据集唯一的核心自变量）；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sz w:val="21"/>
        </w:rPr>
        <w:t>是否可提供至少 1 张用于策略训练的 GPU，以及 2–3 人的人力配置。</w:t>
      </w:r>
    </w:p>
    <w:p>
      <w:pPr>
        <w:pStyle w:val="Heading1"/>
        <w:spacing w:before="280" w:after="120"/>
      </w:pPr>
      <w:r>
        <w:rPr>
          <w:rFonts w:ascii="Arial" w:hAnsi="Arial" w:eastAsia="黑体"/>
          <w:b/>
          <w:sz w:val="32"/>
        </w:rPr>
        <w:t>二、项目现状</w:t>
      </w:r>
    </w:p>
    <w:p>
      <w:pPr>
        <w:pStyle w:val="Heading2"/>
        <w:spacing w:before="200" w:after="120"/>
      </w:pPr>
      <w:r>
        <w:rPr>
          <w:rFonts w:ascii="Arial" w:hAnsi="Arial" w:eastAsia="黑体"/>
          <w:b/>
          <w:sz w:val="27"/>
        </w:rPr>
        <w:t>2.1 已完成的工作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73"/>
        <w:gridCol w:w="3173"/>
        <w:gridCol w:w="3173"/>
      </w:tblGrid>
      <w:tr>
        <w:tc>
          <w:tcPr>
            <w:tcW w:type="dxa" w:w="2381"/>
            <w:shd w:val="clear" w:color="auto" w:fill="E8EEF7"/>
          </w:tcPr>
          <w:p>
            <w:pPr>
              <w:spacing w:after="20"/>
            </w:pPr>
            <w:r/>
            <w:r>
              <w:rPr>
                <w:rFonts w:ascii="Arial" w:hAnsi="Arial" w:eastAsia="黑体"/>
                <w:b/>
                <w:sz w:val="19"/>
              </w:rPr>
              <w:t>模块</w:t>
            </w:r>
          </w:p>
        </w:tc>
        <w:tc>
          <w:tcPr>
            <w:tcW w:type="dxa" w:w="1474"/>
            <w:shd w:val="clear" w:color="auto" w:fill="E8EEF7"/>
          </w:tcPr>
          <w:p>
            <w:pPr>
              <w:spacing w:after="20"/>
            </w:pPr>
            <w:r/>
            <w:r>
              <w:rPr>
                <w:rFonts w:ascii="Arial" w:hAnsi="Arial" w:eastAsia="黑体"/>
                <w:b/>
                <w:sz w:val="19"/>
              </w:rPr>
              <w:t>状态</w:t>
            </w:r>
          </w:p>
        </w:tc>
        <w:tc>
          <w:tcPr>
            <w:tcW w:type="dxa" w:w="5216"/>
            <w:shd w:val="clear" w:color="auto" w:fill="E8EEF7"/>
          </w:tcPr>
          <w:p>
            <w:pPr>
              <w:spacing w:after="20"/>
            </w:pPr>
            <w:r/>
            <w:r>
              <w:rPr>
                <w:rFonts w:ascii="Arial" w:hAnsi="Arial" w:eastAsia="黑体"/>
                <w:b/>
                <w:sz w:val="19"/>
              </w:rPr>
              <w:t>说明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远程 Docker 仿真环境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已完成</w:t>
            </w:r>
          </w:p>
        </w:tc>
        <w:tc>
          <w:tcPr>
            <w:tcW w:type="dxa" w:w="5216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容器 xrobo-vr-teleop，Meshcat 可视化经 SSH 隧道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侧装专用映射矩阵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已完成并冻结</w:t>
            </w:r>
          </w:p>
        </w:tc>
        <w:tc>
          <w:tcPr>
            <w:tcW w:type="dxa" w:w="5216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仿真入口与真机控制器共用同一矩阵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6-DoF 姿态跟随（仿真）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已完成</w:t>
            </w:r>
          </w:p>
        </w:tc>
        <w:tc>
          <w:tcPr>
            <w:tcW w:type="dxa" w:w="5216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含死区 + 指数平滑滤波、关节约束、B 键复位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DLS 局部逆解 + 奇异点保护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已完成</w:t>
            </w:r>
          </w:p>
        </w:tc>
        <w:tc>
          <w:tcPr>
            <w:tcW w:type="dxa" w:w="5216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SVD 阻尼最小二乘、J3/J5 禁止穿零、硬区保持、有界计算预算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真机安全层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代码就绪</w:t>
            </w:r>
          </w:p>
        </w:tc>
        <w:tc>
          <w:tcPr>
            <w:tcW w:type="dxa" w:w="5216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UDP 实时反馈、速度/加速度限幅、超速与超时判定、故障锁存与使能状态机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数据采集基础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部分完成</w:t>
            </w:r>
          </w:p>
        </w:tc>
        <w:tc>
          <w:tcPr>
            <w:tcW w:type="dxa" w:w="5216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HDF5 采集器，以 Grip 按下/松开为 episode 边界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自动化测试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已完成</w:t>
            </w:r>
          </w:p>
        </w:tc>
        <w:tc>
          <w:tcPr>
            <w:tcW w:type="dxa" w:w="5216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407 项测试通过</w:t>
            </w:r>
          </w:p>
        </w:tc>
      </w:tr>
    </w:tbl>
    <w:p>
      <w:pPr>
        <w:spacing w:after="40"/>
      </w:pPr>
    </w:p>
    <w:p>
      <w:pPr>
        <w:pStyle w:val="Heading2"/>
        <w:spacing w:before="200" w:after="120"/>
      </w:pPr>
      <w:r>
        <w:rPr>
          <w:rFonts w:ascii="Arial" w:hAnsi="Arial" w:eastAsia="黑体"/>
          <w:b/>
          <w:sz w:val="27"/>
        </w:rPr>
        <w:t>2.2 项目中具有科研价值的实测发现</w:t>
      </w:r>
    </w:p>
    <w:p>
      <w:r>
        <w:rPr>
          <w:rFonts w:ascii="Times New Roman" w:hAnsi="Times New Roman" w:eastAsia="宋体"/>
          <w:b w:val="0"/>
          <w:sz w:val="21"/>
        </w:rPr>
        <w:t>这些是别的团队没有机会观察到的现象，是后续论文选题的实际来源：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sz w:val="21"/>
        </w:rPr>
        <w:t>URDF 模型的正运动学结果与真机控制器上报的 TCP 位姿偏差达 660–1300 mm；根因已定位到末端杆件参数的型号差异（d6 = 161.2 mm  vs  SDK 默认 144 mm）以及工作坐标系安装姿态。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sz w:val="21"/>
        </w:rPr>
        <w:t>XRoboToolkit 的世界坐标系是在应用启动瞬间锚定的，因此操作者躯干走动或前倾会污染输入信号，而单纯转头不会。固定的世界锚定参考系下，这是固有行为，目前尚未采用补偿方案。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sz w:val="21"/>
        </w:rPr>
        <w:t>侧装工况下映射矩阵的方向是否符合人体直觉，代码推导与一次仿真口述观测在 X/Y 两轴上正好互换，真机观测栏至今为空 —— 即方向问题尚未实测定案。</w:t>
      </w:r>
    </w:p>
    <w:p>
      <w:pPr>
        <w:pStyle w:val="Heading2"/>
        <w:spacing w:before="200" w:after="120"/>
      </w:pPr>
      <w:r>
        <w:rPr>
          <w:rFonts w:ascii="Arial" w:hAnsi="Arial" w:eastAsia="黑体"/>
          <w:b/>
          <w:sz w:val="27"/>
        </w:rPr>
        <w:t>2.3 尚未完成的部分（硬阻塞）</w:t>
      </w:r>
    </w:p>
    <w:p>
      <w:r>
        <w:rPr>
          <w:rFonts w:ascii="Times New Roman" w:hAnsi="Times New Roman" w:eastAsia="宋体"/>
          <w:b/>
          <w:color w:val="B03020"/>
          <w:sz w:val="21"/>
        </w:rPr>
        <w:t>真机验收从未完成。</w:t>
      </w:r>
      <w:r>
        <w:rPr>
          <w:rFonts w:ascii="Times New Roman" w:hAnsi="Times New Roman" w:eastAsia="宋体"/>
          <w:b w:val="0"/>
          <w:sz w:val="21"/>
        </w:rPr>
        <w:t>执行关节跟随指令的完整链路仅在容器内完成过 1000 周期的空跑时序验证（整链中位数 10.2 ms、最大 14.4 ms，预算 18–20 ms），真实运动下发、完整主循环、机械臂实际跟踪与物理安全尚未验证。</w:t>
      </w:r>
    </w:p>
    <w:p>
      <w:r>
        <w:rPr>
          <w:rFonts w:ascii="Times New Roman" w:hAnsi="Times New Roman" w:eastAsia="宋体"/>
          <w:b w:val="0"/>
          <w:sz w:val="21"/>
        </w:rPr>
        <w:t>此外：数据采集目前仅覆盖仿真路径，无相机图像、无夹爪数据；尚无任何对照实验、被试数据或学习结果。</w:t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Arial" w:hAnsi="Arial" w:eastAsia="黑体"/>
          <w:b/>
          <w:sz w:val="32"/>
        </w:rPr>
        <w:t>三、调研结论：为什么必须换赛道</w:t>
      </w:r>
    </w:p>
    <w:p>
      <w:pPr>
        <w:pStyle w:val="Heading2"/>
        <w:spacing w:before="200" w:after="120"/>
      </w:pPr>
      <w:r>
        <w:rPr>
          <w:rFonts w:ascii="Arial" w:hAnsi="Arial" w:eastAsia="黑体"/>
          <w:b/>
          <w:sz w:val="27"/>
        </w:rPr>
        <w:t>3.1 CCF A 目录事实（第七版，2026-03-31 发布）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73"/>
        <w:gridCol w:w="3173"/>
        <w:gridCol w:w="3173"/>
      </w:tblGrid>
      <w:tr>
        <w:tc>
          <w:tcPr>
            <w:tcW w:type="dxa" w:w="2608"/>
            <w:shd w:val="clear" w:color="auto" w:fill="E8EEF7"/>
          </w:tcPr>
          <w:p>
            <w:pPr>
              <w:spacing w:after="20"/>
            </w:pPr>
            <w:r/>
            <w:r>
              <w:rPr>
                <w:rFonts w:ascii="Arial" w:hAnsi="Arial" w:eastAsia="黑体"/>
                <w:b/>
                <w:sz w:val="19"/>
              </w:rPr>
              <w:t>去处</w:t>
            </w:r>
          </w:p>
        </w:tc>
        <w:tc>
          <w:tcPr>
            <w:tcW w:type="dxa" w:w="1814"/>
            <w:shd w:val="clear" w:color="auto" w:fill="E8EEF7"/>
          </w:tcPr>
          <w:p>
            <w:pPr>
              <w:spacing w:after="20"/>
            </w:pPr>
            <w:r/>
            <w:r>
              <w:rPr>
                <w:rFonts w:ascii="Arial" w:hAnsi="Arial" w:eastAsia="黑体"/>
                <w:b/>
                <w:sz w:val="19"/>
              </w:rPr>
              <w:t>等级</w:t>
            </w:r>
          </w:p>
        </w:tc>
        <w:tc>
          <w:tcPr>
            <w:tcW w:type="dxa" w:w="4649"/>
            <w:shd w:val="clear" w:color="auto" w:fill="E8EEF7"/>
          </w:tcPr>
          <w:p>
            <w:pPr>
              <w:spacing w:after="20"/>
            </w:pPr>
            <w:r/>
            <w:r>
              <w:rPr>
                <w:rFonts w:ascii="Arial" w:hAnsi="Arial" w:eastAsia="黑体"/>
                <w:b/>
                <w:sz w:val="19"/>
              </w:rPr>
              <w:t>备注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IEEE VR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A 类会议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归入「计算机图形学与多媒体」；该方向 A 类会议全套仅 4 个：ACM MM、SIGGRAPH、IEEE VR、IEEE VIS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IEEE TVCG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A 类期刊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同方向。IEEE VR 主赛道论文即发表于 TVCG 专刊，一次投稿可同时获得 A 类会议与 A 类期刊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CHI / UIST / UbiComp / CSCW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A 类会议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人机交互与普适计算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CVPR / ICCV / NeurIPS / ICML / AAAI / ACL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A 类会议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人工智能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ICLR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A 类会议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第七版新增并直接进入 A 类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IJCAI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B 类会议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第七版由 A 降为 B，不建议投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NeurIPS Datasets &amp; Benchmarks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A 类会议的独立 track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数据集类工作的正式去处，认定口径见 §6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ICRA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B 类会议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注：通常易被误认为 A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IROS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C 类会议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IEEE T-RO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B 类期刊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RA-L / RSS / CoRL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不在 CCF 目录内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RSS 的 CORE 等级为 A*，但 CCF 不予收录</w:t>
            </w:r>
          </w:p>
        </w:tc>
      </w:tr>
    </w:tbl>
    <w:p>
      <w:pPr>
        <w:spacing w:after="40"/>
      </w:pPr>
    </w:p>
    <w:p>
      <w:pPr>
        <w:pStyle w:val="Heading2"/>
        <w:spacing w:before="200" w:after="120"/>
      </w:pPr>
      <w:r>
        <w:rPr>
          <w:rFonts w:ascii="Arial" w:hAnsi="Arial" w:eastAsia="黑体"/>
          <w:b/>
          <w:sz w:val="27"/>
        </w:rPr>
        <w:t>3.2 本方向的发表版图（约 45 篇逐条核验）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73"/>
        <w:gridCol w:w="3173"/>
        <w:gridCol w:w="3173"/>
      </w:tblGrid>
      <w:tr>
        <w:tc>
          <w:tcPr>
            <w:tcW w:type="dxa" w:w="2381"/>
            <w:shd w:val="clear" w:color="auto" w:fill="E8EEF7"/>
          </w:tcPr>
          <w:p>
            <w:pPr>
              <w:spacing w:after="20"/>
            </w:pPr>
            <w:r/>
            <w:r>
              <w:rPr>
                <w:rFonts w:ascii="Arial" w:hAnsi="Arial" w:eastAsia="黑体"/>
                <w:b/>
                <w:sz w:val="19"/>
              </w:rPr>
              <w:t>会议</w:t>
            </w:r>
          </w:p>
        </w:tc>
        <w:tc>
          <w:tcPr>
            <w:tcW w:type="dxa" w:w="1701"/>
            <w:shd w:val="clear" w:color="auto" w:fill="E8EEF7"/>
          </w:tcPr>
          <w:p>
            <w:pPr>
              <w:spacing w:after="20"/>
            </w:pPr>
            <w:r/>
            <w:r>
              <w:rPr>
                <w:rFonts w:ascii="Arial" w:hAnsi="Arial" w:eastAsia="黑体"/>
                <w:b/>
                <w:sz w:val="19"/>
              </w:rPr>
              <w:t>核验到的篇数</w:t>
            </w:r>
          </w:p>
        </w:tc>
        <w:tc>
          <w:tcPr>
            <w:tcW w:type="dxa" w:w="4989"/>
            <w:shd w:val="clear" w:color="auto" w:fill="E8EEF7"/>
          </w:tcPr>
          <w:p>
            <w:pPr>
              <w:spacing w:after="20"/>
            </w:pPr>
            <w:r/>
            <w:r>
              <w:rPr>
                <w:rFonts w:ascii="Arial" w:hAnsi="Arial" w:eastAsia="黑体"/>
                <w:b/>
                <w:sz w:val="19"/>
              </w:rPr>
              <w:t>说明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CoRL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约 20 篇</w:t>
            </w:r>
          </w:p>
        </w:tc>
        <w:tc>
          <w:tcPr>
            <w:tcW w:type="dxa" w:w="4989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第一主场（2024 = PMLR v270，2025 = PMLR v305）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RSS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约 12 篇</w:t>
            </w:r>
          </w:p>
        </w:tc>
        <w:tc>
          <w:tcPr>
            <w:tcW w:type="dxa" w:w="4989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第二主场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ICRA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4 篇</w:t>
            </w:r>
          </w:p>
        </w:tc>
        <w:tc>
          <w:tcPr>
            <w:tcW w:type="dxa" w:w="4989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含 Open X-Embodiment（ICRA 2024 最佳会议论文）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IROS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3 篇</w:t>
            </w:r>
          </w:p>
        </w:tc>
        <w:tc>
          <w:tcPr>
            <w:tcW w:type="dxa" w:w="4989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GELLO、Bunny-VisionPro、Haptic-ACT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CVPR / ICML / ICLR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各 1 篇</w:t>
            </w:r>
          </w:p>
        </w:tc>
        <w:tc>
          <w:tcPr>
            <w:tcW w:type="dxa" w:w="4989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RoboTwin（CVPR 2025 Highlight）、RoboTwin 2.0、RoboCasa365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IEEE VR / ISMAR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各 1 篇</w:t>
            </w:r>
          </w:p>
        </w:tc>
        <w:tc>
          <w:tcPr>
            <w:tcW w:type="dxa" w:w="4989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人机交互支线，问题意识与机器人社区不同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NeurIPS 主轨 / D&amp;B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本轮未核验到</w:t>
            </w:r>
          </w:p>
        </w:tc>
        <w:tc>
          <w:tcPr>
            <w:tcW w:type="dxa" w:w="4989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属覆盖缺口，不等于没有</w:t>
            </w:r>
          </w:p>
        </w:tc>
      </w:tr>
    </w:tbl>
    <w:p>
      <w:pPr>
        <w:spacing w:after="40"/>
      </w:pPr>
    </w:p>
    <w:p>
      <w:pPr>
        <w:spacing w:before="80" w:after="160"/>
        <w:ind w:left="227"/>
      </w:pPr>
      <w:r>
        <w:rPr>
          <w:rFonts w:ascii="Times New Roman" w:hAnsi="Times New Roman" w:eastAsia="楷体"/>
          <w:color w:val="444444"/>
          <w:sz w:val="20"/>
        </w:rPr>
        <w:t>关键含义：这条研究线约七成的工作发表在 CoRL 与 RSS —— 而这两个会议都不在 CCF 目录内。CVPR / NeurIPS 只在「数据集与基准」和「跨本体算法」两个口子上接收本方向工作。因此「投数据集」这一选择本身，就是把研究方向对齐到 CCF A 的少数可行通道之一。</w:t>
      </w:r>
    </w:p>
    <w:p>
      <w:pPr>
        <w:pStyle w:val="Heading2"/>
        <w:spacing w:before="200" w:after="120"/>
      </w:pPr>
      <w:r>
        <w:rPr>
          <w:rFonts w:ascii="Arial" w:hAnsi="Arial" w:eastAsia="黑体"/>
          <w:b/>
          <w:sz w:val="27"/>
        </w:rPr>
        <w:t>3.3 一条必须正面处理的反方证据</w:t>
      </w:r>
    </w:p>
    <w:p>
      <w:r>
        <w:rPr>
          <w:rFonts w:ascii="Times New Roman" w:hAnsi="Times New Roman" w:eastAsia="宋体"/>
          <w:b w:val="0"/>
          <w:sz w:val="21"/>
        </w:rPr>
        <w:t>调研发现，VR 头显是否是最优的演示采集接口，在 2025 年仍未定论，且有顶会论文给出明确反对证据：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sz w:val="21"/>
        </w:rPr>
        <w:t>BRS（CoRL 2025）刻意采用非 VR 的 JoyLo 接口（Joy-Con 手柄 + 运动学同构主手），其 10 人用户研究报告该接口在成功率、耗时与奇异率上均优于 VR 手柄与 Apple Vision Pro。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sz w:val="21"/>
        </w:rPr>
        <w:t>Bidex（CoRL 2024）同样报告其方案优于 Vision Pro 与 SteamVR 基线。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sz w:val="21"/>
        </w:rPr>
        <w:t>GELLO（IROS 2024）12 人用户研究显示主从同构臂在演示采集上优于 VR 手柄。</w:t>
      </w:r>
    </w:p>
    <w:p>
      <w:r>
        <w:rPr>
          <w:rFonts w:ascii="Times New Roman" w:hAnsi="Times New Roman" w:eastAsia="宋体"/>
          <w:b/>
          <w:sz w:val="21"/>
        </w:rPr>
        <w:t>影响：</w:t>
      </w:r>
      <w:r>
        <w:rPr>
          <w:rFonts w:ascii="Times New Roman" w:hAnsi="Times New Roman" w:eastAsia="宋体"/>
          <w:b w:val="0"/>
          <w:sz w:val="21"/>
        </w:rPr>
        <w:t>论文中不能默认「VR 手感更好」，必须把接口选择当作需要论证或测量的对象，或者将其作为既定前提而不作优劣声明。</w:t>
      </w:r>
    </w:p>
    <w:p>
      <w:pPr>
        <w:pStyle w:val="Heading1"/>
        <w:spacing w:before="280" w:after="120"/>
      </w:pPr>
      <w:r>
        <w:rPr>
          <w:rFonts w:ascii="Arial" w:hAnsi="Arial" w:eastAsia="黑体"/>
          <w:b/>
          <w:sz w:val="32"/>
        </w:rPr>
        <w:t>四、数据集主线：定位与科学问题</w:t>
      </w:r>
    </w:p>
    <w:p>
      <w:pPr>
        <w:pStyle w:val="Heading2"/>
        <w:spacing w:before="200" w:after="120"/>
      </w:pPr>
      <w:r>
        <w:rPr>
          <w:rFonts w:ascii="Arial" w:hAnsi="Arial" w:eastAsia="黑体"/>
          <w:b/>
          <w:sz w:val="27"/>
        </w:rPr>
        <w:t>4.1 规模对照：硬拼规模不可行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73"/>
        <w:gridCol w:w="3173"/>
        <w:gridCol w:w="3173"/>
      </w:tblGrid>
      <w:tr>
        <w:tc>
          <w:tcPr>
            <w:tcW w:type="dxa" w:w="2154"/>
            <w:shd w:val="clear" w:color="auto" w:fill="E8EEF7"/>
          </w:tcPr>
          <w:p>
            <w:pPr>
              <w:spacing w:after="20"/>
            </w:pPr>
            <w:r/>
            <w:r>
              <w:rPr>
                <w:rFonts w:ascii="Arial" w:hAnsi="Arial" w:eastAsia="黑体"/>
                <w:b/>
                <w:sz w:val="19"/>
              </w:rPr>
              <w:t>数据集</w:t>
            </w:r>
          </w:p>
        </w:tc>
        <w:tc>
          <w:tcPr>
            <w:tcW w:type="dxa" w:w="4762"/>
            <w:shd w:val="clear" w:color="auto" w:fill="E8EEF7"/>
          </w:tcPr>
          <w:p>
            <w:pPr>
              <w:spacing w:after="20"/>
            </w:pPr>
            <w:r/>
            <w:r>
              <w:rPr>
                <w:rFonts w:ascii="Arial" w:hAnsi="Arial" w:eastAsia="黑体"/>
                <w:b/>
                <w:sz w:val="19"/>
              </w:rPr>
              <w:t>规模</w:t>
            </w:r>
          </w:p>
        </w:tc>
        <w:tc>
          <w:tcPr>
            <w:tcW w:type="dxa" w:w="2154"/>
            <w:shd w:val="clear" w:color="auto" w:fill="E8EEF7"/>
          </w:tcPr>
          <w:p>
            <w:pPr>
              <w:spacing w:after="20"/>
            </w:pPr>
            <w:r/>
            <w:r>
              <w:rPr>
                <w:rFonts w:ascii="Arial" w:hAnsi="Arial" w:eastAsia="黑体"/>
                <w:b/>
                <w:sz w:val="19"/>
              </w:rPr>
              <w:t>出处</w:t>
            </w:r>
          </w:p>
        </w:tc>
      </w:tr>
      <w:tr>
        <w:tc>
          <w:tcPr>
            <w:tcW w:type="dxa" w:w="2154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AgiBot World</w:t>
            </w:r>
          </w:p>
        </w:tc>
        <w:tc>
          <w:tcPr>
            <w:tcW w:type="dxa" w:w="4762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100 万条以上轨迹 / 217 个任务</w:t>
            </w:r>
          </w:p>
        </w:tc>
        <w:tc>
          <w:tcPr>
            <w:tcW w:type="dxa" w:w="2154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arXiv:2503.06669</w:t>
            </w:r>
          </w:p>
        </w:tc>
      </w:tr>
      <w:tr>
        <w:tc>
          <w:tcPr>
            <w:tcW w:type="dxa" w:w="2154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RoboMIND</w:t>
            </w:r>
          </w:p>
        </w:tc>
        <w:tc>
          <w:tcPr>
            <w:tcW w:type="dxa" w:w="4762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10.7 万条轨迹 / 479 个任务 / 4 种本体，另含 5 千条失败演示</w:t>
            </w:r>
          </w:p>
        </w:tc>
        <w:tc>
          <w:tcPr>
            <w:tcW w:type="dxa" w:w="2154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RSS 2025，DOI 10.15607/RSS.2025.XXI.152</w:t>
            </w:r>
          </w:p>
        </w:tc>
      </w:tr>
      <w:tr>
        <w:tc>
          <w:tcPr>
            <w:tcW w:type="dxa" w:w="2154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DROID</w:t>
            </w:r>
          </w:p>
        </w:tc>
        <w:tc>
          <w:tcPr>
            <w:tcW w:type="dxa" w:w="4762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7.6 万条轨迹 / 350 小时 / 13 家机构</w:t>
            </w:r>
          </w:p>
        </w:tc>
        <w:tc>
          <w:tcPr>
            <w:tcW w:type="dxa" w:w="2154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RSS 2024, p120</w:t>
            </w:r>
          </w:p>
        </w:tc>
      </w:tr>
      <w:tr>
        <w:tc>
          <w:tcPr>
            <w:tcW w:type="dxa" w:w="2154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Open X-Embodiment</w:t>
            </w:r>
          </w:p>
        </w:tc>
        <w:tc>
          <w:tcPr>
            <w:tcW w:type="dxa" w:w="4762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汇聚 60 个数据集 / 22 种本体 / 100 万条以上轨迹</w:t>
            </w:r>
          </w:p>
        </w:tc>
        <w:tc>
          <w:tcPr>
            <w:tcW w:type="dxa" w:w="2154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ICRA 2024 最佳会议论文</w:t>
            </w:r>
          </w:p>
        </w:tc>
      </w:tr>
      <w:tr>
        <w:tc>
          <w:tcPr>
            <w:tcW w:type="dxa" w:w="2154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本项目现状</w:t>
            </w:r>
          </w:p>
        </w:tc>
        <w:tc>
          <w:tcPr>
            <w:tcW w:type="dxa" w:w="4762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HDF5 采集器已就绪，仅仿真、无相机、无夹爪、无真机采集，episode 数约为 0</w:t>
            </w:r>
          </w:p>
        </w:tc>
        <w:tc>
          <w:tcPr>
            <w:tcW w:type="dxa" w:w="2154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—</w:t>
            </w:r>
          </w:p>
        </w:tc>
      </w:tr>
    </w:tbl>
    <w:p>
      <w:pPr>
        <w:spacing w:after="40"/>
      </w:pPr>
    </w:p>
    <w:p>
      <w:r>
        <w:rPr>
          <w:rFonts w:ascii="Times New Roman" w:hAnsi="Times New Roman" w:eastAsia="宋体"/>
          <w:b/>
          <w:color w:val="B03020"/>
          <w:sz w:val="21"/>
        </w:rPr>
        <w:t>差距为 2–3 个数量级，直接对标 DROID 或 RoboMIND 的路线不存在。</w:t>
      </w:r>
    </w:p>
    <w:p>
      <w:pPr>
        <w:pStyle w:val="Heading2"/>
        <w:spacing w:before="200" w:after="120"/>
      </w:pPr>
      <w:r>
        <w:rPr>
          <w:rFonts w:ascii="Arial" w:hAnsi="Arial" w:eastAsia="黑体"/>
          <w:b/>
          <w:sz w:val="27"/>
        </w:rPr>
        <w:t>4.2 三条已核实的空白轴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73"/>
        <w:gridCol w:w="3173"/>
        <w:gridCol w:w="3173"/>
      </w:tblGrid>
      <w:tr>
        <w:tc>
          <w:tcPr>
            <w:tcW w:type="dxa" w:w="510"/>
            <w:shd w:val="clear" w:color="auto" w:fill="E8EEF7"/>
          </w:tcPr>
          <w:p>
            <w:pPr>
              <w:spacing w:after="20"/>
            </w:pPr>
            <w:r/>
            <w:r>
              <w:rPr>
                <w:rFonts w:ascii="Arial" w:hAnsi="Arial" w:eastAsia="黑体"/>
                <w:b/>
                <w:sz w:val="19"/>
              </w:rPr>
              <w:t>#</w:t>
            </w:r>
          </w:p>
        </w:tc>
        <w:tc>
          <w:tcPr>
            <w:tcW w:type="dxa" w:w="2041"/>
            <w:shd w:val="clear" w:color="auto" w:fill="E8EEF7"/>
          </w:tcPr>
          <w:p>
            <w:pPr>
              <w:spacing w:after="20"/>
            </w:pPr>
            <w:r/>
            <w:r>
              <w:rPr>
                <w:rFonts w:ascii="Arial" w:hAnsi="Arial" w:eastAsia="黑体"/>
                <w:b/>
                <w:sz w:val="19"/>
              </w:rPr>
              <w:t>空白轴</w:t>
            </w:r>
          </w:p>
        </w:tc>
        <w:tc>
          <w:tcPr>
            <w:tcW w:type="dxa" w:w="6520"/>
            <w:shd w:val="clear" w:color="auto" w:fill="E8EEF7"/>
          </w:tcPr>
          <w:p>
            <w:pPr>
              <w:spacing w:after="20"/>
            </w:pPr>
            <w:r/>
            <w:r>
              <w:rPr>
                <w:rFonts w:ascii="Arial" w:hAnsi="Arial" w:eastAsia="黑体"/>
                <w:b/>
                <w:sz w:val="19"/>
              </w:rPr>
              <w:t>核实结论</w:t>
            </w:r>
          </w:p>
        </w:tc>
      </w:tr>
      <w:tr>
        <w:tc>
          <w:tcPr>
            <w:tcW w:type="dxa" w:w="510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1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PICO 头显</w:t>
            </w:r>
          </w:p>
        </w:tc>
        <w:tc>
          <w:tcPr>
            <w:tcW w:type="dxa" w:w="6520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已核实的头部数据集分别使用 Oculus Quest 2（DROID）与 Apple Vision Pro（Fourier ActionNet）；本轮未能核实到任何基于 PICO 的大规模数据集。</w:t>
            </w:r>
          </w:p>
        </w:tc>
      </w:tr>
      <w:tr>
        <w:tc>
          <w:tcPr>
            <w:tcW w:type="dxa" w:w="510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2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机械臂安装朝向</w:t>
            </w:r>
          </w:p>
        </w:tc>
        <w:tc>
          <w:tcPr>
            <w:tcW w:type="dxa" w:w="6520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现有数据集的机器人全部为规范安装（桌面或地面）。RM65 官方支持任意角度安装，但尚无数据集把底座朝向作为受控自变量。相邻工作 Mobi-π（CoRL 2025）研究的是移动底盘的摆放位置，并非安装朝向。</w:t>
            </w:r>
          </w:p>
        </w:tc>
      </w:tr>
      <w:tr>
        <w:tc>
          <w:tcPr>
            <w:tcW w:type="dxa" w:w="510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3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运动学约束事件标注</w:t>
            </w:r>
          </w:p>
        </w:tc>
        <w:tc>
          <w:tcPr>
            <w:tcW w:type="dxa" w:w="6520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调研结论：绝大多数遥操作数据集只保留成功演示，采数时的失败片段通常被丢弃，导致策略未见过失败、不会恢复。而本项目具备 UDP 实时遥测、逆解指标（奇异值比、速度缩放）与故障锁存/使能事件，可为每一帧自动标注运动学状态。</w:t>
            </w:r>
          </w:p>
        </w:tc>
      </w:tr>
    </w:tbl>
    <w:p>
      <w:pPr>
        <w:spacing w:after="40"/>
      </w:pPr>
    </w:p>
    <w:p>
      <w:pPr>
        <w:pStyle w:val="Heading2"/>
        <w:spacing w:before="200" w:after="120"/>
      </w:pPr>
      <w:r>
        <w:rPr>
          <w:rFonts w:ascii="Arial" w:hAnsi="Arial" w:eastAsia="黑体"/>
          <w:b/>
          <w:sz w:val="27"/>
        </w:rPr>
        <w:t>4.3 定位与科学问题</w:t>
      </w:r>
    </w:p>
    <w:p>
      <w:r>
        <w:rPr>
          <w:rFonts w:ascii="Times New Roman" w:hAnsi="Times New Roman" w:eastAsia="宋体"/>
          <w:b/>
          <w:sz w:val="21"/>
        </w:rPr>
        <w:t>数据集定位：</w:t>
      </w:r>
      <w:r>
        <w:rPr>
          <w:rFonts w:ascii="Times New Roman" w:hAnsi="Times New Roman" w:eastAsia="宋体"/>
          <w:b w:val="0"/>
          <w:sz w:val="21"/>
        </w:rPr>
        <w:t>首个带安装朝向自变量与运动学约束事件标注的 VR 遥操作数据集。</w:t>
      </w:r>
    </w:p>
    <w:p>
      <w:r>
        <w:rPr>
          <w:rFonts w:ascii="Times New Roman" w:hAnsi="Times New Roman" w:eastAsia="宋体"/>
          <w:b w:val="0"/>
          <w:sz w:val="21"/>
        </w:rPr>
        <w:t>数据集只是载体，决定论文能否被接收的是它所回答的问题：</w:t>
      </w:r>
    </w:p>
    <w:p>
      <w:pPr>
        <w:ind w:left="454"/>
      </w:pPr>
      <w:r>
        <w:rPr>
          <w:rFonts w:ascii="Times New Roman" w:hAnsi="Times New Roman" w:eastAsia="楷体"/>
          <w:b/>
          <w:sz w:val="23"/>
        </w:rPr>
        <w:t>当机器人本体不变、仅安装朝向改变时，学到的策略会失效吗？主因是视觉差异，还是动作空间（基座坐标系与重力方向）差异？</w:t>
      </w:r>
    </w:p>
    <w:p>
      <w:r>
        <w:rPr>
          <w:rFonts w:ascii="Times New Roman" w:hAnsi="Times New Roman" w:eastAsia="宋体"/>
          <w:b w:val="0"/>
          <w:sz w:val="21"/>
        </w:rPr>
        <w:t>该问题的优势：文献中尚无对应研究；可通过对照实验明确回答；工业动机真实（任意角度安装是现场常态）；且回答它必须依赖第 3 条空白轴的标注数据，形成他人难以复制的壁垒。</w:t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Arial" w:hAnsi="Arial" w:eastAsia="黑体"/>
          <w:b/>
          <w:sz w:val="32"/>
        </w:rPr>
        <w:t>五、实施方案</w:t>
      </w:r>
    </w:p>
    <w:p>
      <w:pPr>
        <w:pStyle w:val="Heading2"/>
        <w:spacing w:before="200" w:after="120"/>
      </w:pPr>
      <w:r>
        <w:rPr>
          <w:rFonts w:ascii="Arial" w:hAnsi="Arial" w:eastAsia="黑体"/>
          <w:b/>
          <w:sz w:val="27"/>
        </w:rPr>
        <w:t>5.1 采集规模目标（按「能回答科学问题」倒推，不对标头部数据集）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73"/>
        <w:gridCol w:w="3173"/>
        <w:gridCol w:w="3173"/>
      </w:tblGrid>
      <w:tr>
        <w:tc>
          <w:tcPr>
            <w:tcW w:type="dxa" w:w="1928"/>
            <w:shd w:val="clear" w:color="auto" w:fill="E8EEF7"/>
          </w:tcPr>
          <w:p>
            <w:pPr>
              <w:spacing w:after="20"/>
            </w:pPr>
            <w:r/>
            <w:r>
              <w:rPr>
                <w:rFonts w:ascii="Arial" w:hAnsi="Arial" w:eastAsia="黑体"/>
                <w:b/>
                <w:sz w:val="19"/>
              </w:rPr>
              <w:t>维度</w:t>
            </w:r>
          </w:p>
        </w:tc>
        <w:tc>
          <w:tcPr>
            <w:tcW w:type="dxa" w:w="3742"/>
            <w:shd w:val="clear" w:color="auto" w:fill="E8EEF7"/>
          </w:tcPr>
          <w:p>
            <w:pPr>
              <w:spacing w:after="20"/>
            </w:pPr>
            <w:r/>
            <w:r>
              <w:rPr>
                <w:rFonts w:ascii="Arial" w:hAnsi="Arial" w:eastAsia="黑体"/>
                <w:b/>
                <w:sz w:val="19"/>
              </w:rPr>
              <w:t>目标</w:t>
            </w:r>
          </w:p>
        </w:tc>
        <w:tc>
          <w:tcPr>
            <w:tcW w:type="dxa" w:w="3402"/>
            <w:shd w:val="clear" w:color="auto" w:fill="E8EEF7"/>
          </w:tcPr>
          <w:p>
            <w:pPr>
              <w:spacing w:after="20"/>
            </w:pPr>
            <w:r/>
            <w:r>
              <w:rPr>
                <w:rFonts w:ascii="Arial" w:hAnsi="Arial" w:eastAsia="黑体"/>
                <w:b/>
                <w:sz w:val="19"/>
              </w:rPr>
              <w:t>理由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安装朝向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3 种（水平 / 侧装 90° / 斜装 45° 或倒装）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核心自变量，至少 3 个才能观察趋势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任务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6 个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覆盖纯平移拾放、需姿态对准的插装、需绕障、接触密集、长程多步、精细对准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每（任务 × 朝向）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50 条成功 + 15 条含失败恢复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便于开展数据筛选实验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合计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约 900 条成功 + 270 条失败恢复 ≈ 1200 条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总帧数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约 180 万帧（30 秒/条 @ 50 Hz）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含 2 路相机</w:t>
            </w:r>
          </w:p>
        </w:tc>
      </w:tr>
    </w:tbl>
    <w:p>
      <w:pPr>
        <w:spacing w:after="40"/>
      </w:pPr>
    </w:p>
    <w:p>
      <w:r>
        <w:rPr>
          <w:rFonts w:ascii="Times New Roman" w:hAnsi="Times New Roman" w:eastAsia="宋体"/>
          <w:b w:val="0"/>
          <w:sz w:val="21"/>
        </w:rPr>
        <w:t>采集工时估算：参照已发表实测数据（UMI 手持采集 111 条/小时，SpaceMouse 35 条/小时），本项目为 VR 手柄 + 真机 + 复位，保守估计 20–40 条/小时，则 1200 条约需 30–60 小时纯操作时间。</w:t>
      </w:r>
    </w:p>
    <w:p>
      <w:r>
        <w:rPr>
          <w:rFonts w:ascii="Times New Roman" w:hAnsi="Times New Roman" w:eastAsia="宋体"/>
          <w:b/>
          <w:sz w:val="21"/>
        </w:rPr>
        <w:t>结论：数据规模在本方案下是可行的，真正的成本在调试与重置，而非操作本身。</w:t>
      </w:r>
    </w:p>
    <w:p>
      <w:pPr>
        <w:pStyle w:val="Heading2"/>
        <w:spacing w:before="200" w:after="120"/>
      </w:pPr>
      <w:r>
        <w:rPr>
          <w:rFonts w:ascii="Arial" w:hAnsi="Arial" w:eastAsia="黑体"/>
          <w:b/>
          <w:sz w:val="27"/>
        </w:rPr>
        <w:t>5.2 数据模态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79"/>
        <w:gridCol w:w="2379"/>
        <w:gridCol w:w="2379"/>
        <w:gridCol w:w="2379"/>
      </w:tblGrid>
      <w:tr>
        <w:tc>
          <w:tcPr>
            <w:tcW w:type="dxa" w:w="1474"/>
            <w:shd w:val="clear" w:color="auto" w:fill="E8EEF7"/>
          </w:tcPr>
          <w:p>
            <w:pPr>
              <w:spacing w:after="20"/>
            </w:pPr>
            <w:r/>
            <w:r>
              <w:rPr>
                <w:rFonts w:ascii="Arial" w:hAnsi="Arial" w:eastAsia="黑体"/>
                <w:b/>
                <w:sz w:val="19"/>
              </w:rPr>
              <w:t>数据组</w:t>
            </w:r>
          </w:p>
        </w:tc>
        <w:tc>
          <w:tcPr>
            <w:tcW w:type="dxa" w:w="4195"/>
            <w:shd w:val="clear" w:color="auto" w:fill="E8EEF7"/>
          </w:tcPr>
          <w:p>
            <w:pPr>
              <w:spacing w:after="20"/>
            </w:pPr>
            <w:r/>
            <w:r>
              <w:rPr>
                <w:rFonts w:ascii="Arial" w:hAnsi="Arial" w:eastAsia="黑体"/>
                <w:b/>
                <w:sz w:val="19"/>
              </w:rPr>
              <w:t>内容</w:t>
            </w:r>
          </w:p>
        </w:tc>
        <w:tc>
          <w:tcPr>
            <w:tcW w:type="dxa" w:w="1247"/>
            <w:shd w:val="clear" w:color="auto" w:fill="E8EEF7"/>
          </w:tcPr>
          <w:p>
            <w:pPr>
              <w:spacing w:after="20"/>
            </w:pPr>
            <w:r/>
            <w:r>
              <w:rPr>
                <w:rFonts w:ascii="Arial" w:hAnsi="Arial" w:eastAsia="黑体"/>
                <w:b/>
                <w:sz w:val="19"/>
              </w:rPr>
              <w:t>频率</w:t>
            </w:r>
          </w:p>
        </w:tc>
        <w:tc>
          <w:tcPr>
            <w:tcW w:type="dxa" w:w="2154"/>
            <w:shd w:val="clear" w:color="auto" w:fill="E8EEF7"/>
          </w:tcPr>
          <w:p>
            <w:pPr>
              <w:spacing w:after="20"/>
            </w:pPr>
            <w:r/>
            <w:r>
              <w:rPr>
                <w:rFonts w:ascii="Arial" w:hAnsi="Arial" w:eastAsia="黑体"/>
                <w:b/>
                <w:sz w:val="19"/>
              </w:rPr>
              <w:t>现状</w:t>
            </w:r>
          </w:p>
        </w:tc>
      </w:tr>
      <w:t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本体状态</w:t>
            </w:r>
          </w:p>
        </w:tc>
        <w:tc>
          <w:tcPr>
            <w:tcW w:type="dxa" w:w="4195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六关节角与速度、TCP 位姿、跟踪误差、错误码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50 Hz</w:t>
            </w:r>
          </w:p>
        </w:tc>
        <w:tc>
          <w:tcPr>
            <w:tcW w:type="dxa" w:w="2154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遥测已有，待落盘</w:t>
            </w:r>
          </w:p>
        </w:tc>
      </w:tr>
      <w:t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视觉</w:t>
            </w:r>
          </w:p>
        </w:tc>
        <w:tc>
          <w:tcPr>
            <w:tcW w:type="dxa" w:w="4195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腕部相机（随末端）+ 第三人称相机 1–2 路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30 Hz</w:t>
            </w:r>
          </w:p>
        </w:tc>
        <w:tc>
          <w:tcPr>
            <w:tcW w:type="dxa" w:w="2154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待接入</w:t>
            </w:r>
          </w:p>
        </w:tc>
      </w:tr>
      <w:t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动作</w:t>
            </w:r>
          </w:p>
        </w:tc>
        <w:tc>
          <w:tcPr>
            <w:tcW w:type="dxa" w:w="4195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手柄增量位姿、Grip 值、实际下发关节目标、夹爪开度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50 Hz</w:t>
            </w:r>
          </w:p>
        </w:tc>
        <w:tc>
          <w:tcPr>
            <w:tcW w:type="dxa" w:w="2154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部分具备（缺夹爪）</w:t>
            </w:r>
          </w:p>
        </w:tc>
      </w:tr>
      <w:t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运动学事件</w:t>
            </w:r>
          </w:p>
        </w:tc>
        <w:tc>
          <w:tcPr>
            <w:tcW w:type="dxa" w:w="4195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奇异值比、速度缩放比例、阻尼系数、状态标记、J3/J5 距零位、关节限位余量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50 Hz</w:t>
            </w:r>
          </w:p>
        </w:tc>
        <w:tc>
          <w:tcPr>
            <w:tcW w:type="dxa" w:w="2154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变量已在逆解模块中，仅需落盘</w:t>
            </w:r>
          </w:p>
        </w:tc>
      </w:tr>
      <w:t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安全事件</w:t>
            </w:r>
          </w:p>
        </w:tc>
        <w:tc>
          <w:tcPr>
            <w:tcW w:type="dxa" w:w="4195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软停止 / 硬停止 / 故障锁存 / 重新使能 / 看门狗超时 / 超速判定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事件流</w:t>
            </w:r>
          </w:p>
        </w:tc>
        <w:tc>
          <w:tcPr>
            <w:tcW w:type="dxa" w:w="2154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状态机已有</w:t>
            </w:r>
          </w:p>
        </w:tc>
      </w:tr>
      <w:t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元信息</w:t>
            </w:r>
          </w:p>
        </w:tc>
        <w:tc>
          <w:tcPr>
            <w:tcW w:type="dxa" w:w="4195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安装朝向、映射矩阵版本、缩放因子、操作者编号、时间同步信息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每条 episode</w:t>
            </w:r>
          </w:p>
        </w:tc>
        <w:tc>
          <w:tcPr>
            <w:tcW w:type="dxa" w:w="2154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待建</w:t>
            </w:r>
          </w:p>
        </w:tc>
      </w:tr>
    </w:tbl>
    <w:p>
      <w:pPr>
        <w:spacing w:after="40"/>
      </w:pPr>
    </w:p>
    <w:p>
      <w:pPr>
        <w:spacing w:before="80" w:after="160"/>
        <w:ind w:left="227"/>
      </w:pPr>
      <w:r>
        <w:rPr>
          <w:rFonts w:ascii="Times New Roman" w:hAnsi="Times New Roman" w:eastAsia="楷体"/>
          <w:color w:val="444444"/>
          <w:sz w:val="20"/>
        </w:rPr>
        <w:t>优先级建议：运动学事件与安全事件的落盘成本极低（相关变量已在 damped_ik 模块中现成存在），但它是本数据集差异化的全部来源，应优先实现。</w:t>
      </w:r>
    </w:p>
    <w:p>
      <w:pPr>
        <w:pStyle w:val="Heading2"/>
        <w:spacing w:before="200" w:after="120"/>
      </w:pPr>
      <w:r>
        <w:rPr>
          <w:rFonts w:ascii="Arial" w:hAnsi="Arial" w:eastAsia="黑体"/>
          <w:b/>
          <w:sz w:val="27"/>
        </w:rPr>
        <w:t>5.3 下游实验（数据集论文的必要条件）</w:t>
      </w:r>
    </w:p>
    <w:p>
      <w:r>
        <w:rPr>
          <w:rFonts w:ascii="Times New Roman" w:hAnsi="Times New Roman" w:eastAsia="宋体"/>
          <w:b w:val="0"/>
          <w:sz w:val="21"/>
        </w:rPr>
        <w:t>已核实的头部数据集工作（DROID、Open X-Embodiment、RoboMIND、AgiBot World）无一例外都训练了策略。本方案规划三个实验：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73"/>
        <w:gridCol w:w="3173"/>
        <w:gridCol w:w="3173"/>
      </w:tblGrid>
      <w:tr>
        <w:tc>
          <w:tcPr>
            <w:tcW w:type="dxa" w:w="1701"/>
            <w:shd w:val="clear" w:color="auto" w:fill="E8EEF7"/>
          </w:tcPr>
          <w:p>
            <w:pPr>
              <w:spacing w:after="20"/>
            </w:pPr>
            <w:r/>
            <w:r>
              <w:rPr>
                <w:rFonts w:ascii="Arial" w:hAnsi="Arial" w:eastAsia="黑体"/>
                <w:b/>
                <w:sz w:val="19"/>
              </w:rPr>
              <w:t>实验</w:t>
            </w:r>
          </w:p>
        </w:tc>
        <w:tc>
          <w:tcPr>
            <w:tcW w:type="dxa" w:w="4535"/>
            <w:shd w:val="clear" w:color="auto" w:fill="E8EEF7"/>
          </w:tcPr>
          <w:p>
            <w:pPr>
              <w:spacing w:after="20"/>
            </w:pPr>
            <w:r/>
            <w:r>
              <w:rPr>
                <w:rFonts w:ascii="Arial" w:hAnsi="Arial" w:eastAsia="黑体"/>
                <w:b/>
                <w:sz w:val="19"/>
              </w:rPr>
              <w:t>设计</w:t>
            </w:r>
          </w:p>
        </w:tc>
        <w:tc>
          <w:tcPr>
            <w:tcW w:type="dxa" w:w="2835"/>
            <w:shd w:val="clear" w:color="auto" w:fill="E8EEF7"/>
          </w:tcPr>
          <w:p>
            <w:pPr>
              <w:spacing w:after="20"/>
            </w:pPr>
            <w:r/>
            <w:r>
              <w:rPr>
                <w:rFonts w:ascii="Arial" w:hAnsi="Arial" w:eastAsia="黑体"/>
                <w:b/>
                <w:sz w:val="19"/>
              </w:rPr>
              <w:t>价值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实验一</w:t>
            </w:r>
          </w:p>
          <w:p>
            <w:pPr>
              <w:spacing w:after="20"/>
            </w:pPr>
            <w:r>
              <w:rPr>
                <w:rFonts w:ascii="Times New Roman" w:hAnsi="Times New Roman" w:eastAsia="宋体"/>
                <w:sz w:val="19"/>
              </w:rPr>
              <w:t>跨安装朝向迁移</w:t>
            </w:r>
          </w:p>
        </w:tc>
        <w:tc>
          <w:tcPr>
            <w:tcW w:type="dxa" w:w="4535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朝向 A 数据训练 → 在 A / B / C 测试；对照组为三朝向混合训练；进一步把动作表示换成安装无关表示，以分离视觉与动作空间的作用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核心洞见，直接回答科学问题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实验二</w:t>
            </w:r>
          </w:p>
          <w:p>
            <w:pPr>
              <w:spacing w:after="20"/>
            </w:pPr>
            <w:r>
              <w:rPr>
                <w:rFonts w:ascii="Times New Roman" w:hAnsi="Times New Roman" w:eastAsia="宋体"/>
                <w:sz w:val="19"/>
              </w:rPr>
              <w:t>演示质量筛选</w:t>
            </w:r>
          </w:p>
        </w:tc>
        <w:tc>
          <w:tcPr>
            <w:tcW w:type="dxa" w:w="4535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用运动学事件为 1200 条演示打分 → 按 100% / 50% / 33% / 25% 筛选；绘制成功率随数据量的变化曲线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对标 CUPID（CoRL 2025：使用不足 33% 的筛选数据即达到 SOTA 水平）；该实验几乎不需要额外硬件，最易产出清晰结果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实验三</w:t>
            </w:r>
          </w:p>
          <w:p>
            <w:pPr>
              <w:spacing w:after="20"/>
            </w:pPr>
            <w:r>
              <w:rPr>
                <w:rFonts w:ascii="Times New Roman" w:hAnsi="Times New Roman" w:eastAsia="宋体"/>
                <w:sz w:val="19"/>
              </w:rPr>
              <w:t>失败恢复数据价值</w:t>
            </w:r>
          </w:p>
        </w:tc>
        <w:tc>
          <w:tcPr>
            <w:tcW w:type="dxa" w:w="4535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仅成功演示 vs 成功 + 失败恢复演示；测试策略在人为扰动后的恢复能力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命中「多数数据集只留成功片段」这一开放问题</w:t>
            </w:r>
          </w:p>
        </w:tc>
      </w:tr>
    </w:tbl>
    <w:p>
      <w:pPr>
        <w:spacing w:after="40"/>
      </w:pPr>
    </w:p>
    <w:p>
      <w:r>
        <w:rPr>
          <w:rFonts w:ascii="Times New Roman" w:hAnsi="Times New Roman" w:eastAsia="宋体"/>
          <w:b/>
          <w:sz w:val="21"/>
        </w:rPr>
        <w:t>评测基准的注意事项：</w:t>
      </w:r>
      <w:r>
        <w:rPr>
          <w:rFonts w:ascii="Times New Roman" w:hAnsi="Times New Roman" w:eastAsia="宋体"/>
          <w:b w:val="0"/>
          <w:sz w:val="21"/>
        </w:rPr>
        <w:t>审计研究（arXiv:2606.04233）发现 LIBERO 既是社区最常用的仿真基准，也最容易被刷分 —— 一个 0.09B 规模、不含语言编码器的探针即可达到或接近报告的最优结果，且多数论文报告的提升无法证明统计显著。因此仿真评测建议选用 RoboCasa 或 RoboTwin 2.0，主结果应以真机实验为准。</w:t>
      </w:r>
    </w:p>
    <w:p>
      <w:pPr>
        <w:pStyle w:val="Heading2"/>
        <w:spacing w:before="200" w:after="120"/>
      </w:pPr>
      <w:r>
        <w:rPr>
          <w:rFonts w:ascii="Arial" w:hAnsi="Arial" w:eastAsia="黑体"/>
          <w:b/>
          <w:sz w:val="27"/>
        </w:rPr>
        <w:t>5.4 合规与交付清单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73"/>
        <w:gridCol w:w="3173"/>
        <w:gridCol w:w="3173"/>
      </w:tblGrid>
      <w:tr>
        <w:tc>
          <w:tcPr>
            <w:tcW w:type="dxa" w:w="1928"/>
            <w:shd w:val="clear" w:color="auto" w:fill="E8EEF7"/>
          </w:tcPr>
          <w:p>
            <w:pPr>
              <w:spacing w:after="20"/>
            </w:pPr>
            <w:r/>
            <w:r>
              <w:rPr>
                <w:rFonts w:ascii="Arial" w:hAnsi="Arial" w:eastAsia="黑体"/>
                <w:b/>
                <w:sz w:val="19"/>
              </w:rPr>
              <w:t>项目</w:t>
            </w:r>
          </w:p>
        </w:tc>
        <w:tc>
          <w:tcPr>
            <w:tcW w:type="dxa" w:w="5443"/>
            <w:shd w:val="clear" w:color="auto" w:fill="E8EEF7"/>
          </w:tcPr>
          <w:p>
            <w:pPr>
              <w:spacing w:after="20"/>
            </w:pPr>
            <w:r/>
            <w:r>
              <w:rPr>
                <w:rFonts w:ascii="Arial" w:hAnsi="Arial" w:eastAsia="黑体"/>
                <w:b/>
                <w:sz w:val="19"/>
              </w:rPr>
              <w:t>要求</w:t>
            </w:r>
          </w:p>
        </w:tc>
        <w:tc>
          <w:tcPr>
            <w:tcW w:type="dxa" w:w="1701"/>
            <w:shd w:val="clear" w:color="auto" w:fill="E8EEF7"/>
          </w:tcPr>
          <w:p>
            <w:pPr>
              <w:spacing w:after="20"/>
            </w:pPr>
            <w:r/>
            <w:r>
              <w:rPr>
                <w:rFonts w:ascii="Arial" w:hAnsi="Arial" w:eastAsia="黑体"/>
                <w:b/>
                <w:sz w:val="19"/>
              </w:rPr>
              <w:t>状态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Datasheet</w:t>
            </w:r>
          </w:p>
        </w:tc>
        <w:tc>
          <w:tcPr>
            <w:tcW w:type="dxa" w:w="5443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按 Gebru 等提出的数据集说明书格式撰写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待写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Croissant 元数据</w:t>
            </w:r>
          </w:p>
        </w:tc>
        <w:tc>
          <w:tcPr>
            <w:tcW w:type="dxa" w:w="5443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NeurIPS D&amp;B 的硬性要求，非加分项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待做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许可证</w:t>
            </w:r>
          </w:p>
        </w:tc>
        <w:tc>
          <w:tcPr>
            <w:tcW w:type="dxa" w:w="5443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数据建议 CC BY 4.0（或 CC BY-NC 4.0）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待定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托管</w:t>
            </w:r>
          </w:p>
        </w:tc>
        <w:tc>
          <w:tcPr>
            <w:tcW w:type="dxa" w:w="5443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HuggingFace Datasets + ModelScope 国内镜像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待做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长期维护计划</w:t>
            </w:r>
          </w:p>
        </w:tc>
        <w:tc>
          <w:tcPr>
            <w:tcW w:type="dxa" w:w="5443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D&amp;B 明确要求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待写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伦理审批</w:t>
            </w:r>
          </w:p>
        </w:tc>
        <w:tc>
          <w:tcPr>
            <w:tcW w:type="dxa" w:w="5443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涉及人体被试（操作者），需伦理审查批件与知情同意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需立即启动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可复现性</w:t>
            </w:r>
          </w:p>
        </w:tc>
        <w:tc>
          <w:tcPr>
            <w:tcW w:type="dxa" w:w="5443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采集代码、处理脚本、训练配置、随机种子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已有基础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before="280" w:after="120"/>
      </w:pPr>
      <w:r>
        <w:rPr>
          <w:rFonts w:ascii="Arial" w:hAnsi="Arial" w:eastAsia="黑体"/>
          <w:b/>
          <w:sz w:val="32"/>
        </w:rPr>
        <w:t>六、需要导师确认与支持的三件事</w:t>
      </w:r>
    </w:p>
    <w:p>
      <w:pPr>
        <w:spacing w:before="80" w:after="160"/>
        <w:ind w:left="227"/>
      </w:pPr>
      <w:r>
        <w:rPr>
          <w:rFonts w:ascii="Times New Roman" w:hAnsi="Times New Roman" w:eastAsia="楷体"/>
          <w:color w:val="444444"/>
          <w:sz w:val="20"/>
        </w:rPr>
        <w:t>以下三项不需要编写任何代码，但直接决定整份方案是否成立，建议优先处理。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79"/>
        <w:gridCol w:w="2379"/>
        <w:gridCol w:w="2379"/>
        <w:gridCol w:w="2379"/>
      </w:tblGrid>
      <w:tr>
        <w:tc>
          <w:tcPr>
            <w:tcW w:type="dxa" w:w="510"/>
            <w:shd w:val="clear" w:color="auto" w:fill="E8EEF7"/>
          </w:tcPr>
          <w:p>
            <w:pPr>
              <w:spacing w:after="20"/>
            </w:pPr>
            <w:r/>
            <w:r>
              <w:rPr>
                <w:rFonts w:ascii="Arial" w:hAnsi="Arial" w:eastAsia="黑体"/>
                <w:b/>
                <w:sz w:val="19"/>
              </w:rPr>
              <w:t>#</w:t>
            </w:r>
          </w:p>
        </w:tc>
        <w:tc>
          <w:tcPr>
            <w:tcW w:type="dxa" w:w="3061"/>
            <w:shd w:val="clear" w:color="auto" w:fill="E8EEF7"/>
          </w:tcPr>
          <w:p>
            <w:pPr>
              <w:spacing w:after="20"/>
            </w:pPr>
            <w:r/>
            <w:r>
              <w:rPr>
                <w:rFonts w:ascii="Arial" w:hAnsi="Arial" w:eastAsia="黑体"/>
                <w:b/>
                <w:sz w:val="19"/>
              </w:rPr>
              <w:t>事项</w:t>
            </w:r>
          </w:p>
        </w:tc>
        <w:tc>
          <w:tcPr>
            <w:tcW w:type="dxa" w:w="4309"/>
            <w:shd w:val="clear" w:color="auto" w:fill="E8EEF7"/>
          </w:tcPr>
          <w:p>
            <w:pPr>
              <w:spacing w:after="20"/>
            </w:pPr>
            <w:r/>
            <w:r>
              <w:rPr>
                <w:rFonts w:ascii="Arial" w:hAnsi="Arial" w:eastAsia="黑体"/>
                <w:b/>
                <w:sz w:val="19"/>
              </w:rPr>
              <w:t>为什么关键</w:t>
            </w:r>
          </w:p>
        </w:tc>
        <w:tc>
          <w:tcPr>
            <w:tcW w:type="dxa" w:w="1191"/>
            <w:shd w:val="clear" w:color="auto" w:fill="E8EEF7"/>
          </w:tcPr>
          <w:p>
            <w:pPr>
              <w:spacing w:after="20"/>
            </w:pPr>
            <w:r/>
            <w:r>
              <w:rPr>
                <w:rFonts w:ascii="Arial" w:hAnsi="Arial" w:eastAsia="黑体"/>
                <w:b/>
                <w:sz w:val="19"/>
              </w:rPr>
              <w:t>建议时限</w:t>
            </w:r>
          </w:p>
        </w:tc>
      </w:tr>
      <w:tr>
        <w:tc>
          <w:tcPr>
            <w:tcW w:type="dxa" w:w="510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1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NeurIPS Datasets &amp; Benchmarks track 的论文，本校是否认定为 CCF A 会议论文？</w:t>
            </w:r>
          </w:p>
        </w:tc>
        <w:tc>
          <w:tcPr>
            <w:tcW w:type="dxa" w:w="4309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CCF 目录的原文口径是「会议论文指 Full paper 或 Regular paper」，而 D&amp;B 是该会议下的独立 track。多数单位按 NeurIPS 计入，但也有单位仅认可主赛道。这一条决定整条路线是否成立。</w:t>
            </w:r>
          </w:p>
        </w:tc>
        <w:tc>
          <w:tcPr>
            <w:tcW w:type="dxa" w:w="1191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立即</w:t>
            </w:r>
          </w:p>
        </w:tc>
      </w:tr>
      <w:tr>
        <w:tc>
          <w:tcPr>
            <w:tcW w:type="dxa" w:w="510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2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RM65 是否具备更换安装朝向的物理条件（水平 / 侧装 90° / 斜装或倒装）？</w:t>
            </w:r>
          </w:p>
        </w:tc>
        <w:tc>
          <w:tcPr>
            <w:tcW w:type="dxa" w:w="4309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「安装朝向」是本数据集唯一的核心自变量。若物理上只能安装一种朝向，方案需整体降级为备选方案 B（见 §8）。</w:t>
            </w:r>
          </w:p>
        </w:tc>
        <w:tc>
          <w:tcPr>
            <w:tcW w:type="dxa" w:w="1191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2026 年 10 月底</w:t>
            </w:r>
          </w:p>
        </w:tc>
      </w:tr>
      <w:tr>
        <w:tc>
          <w:tcPr>
            <w:tcW w:type="dxa" w:w="510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3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能否提供至少 1 张用于策略训练的 GPU（建议显存 24 GB 以上），以及 2–3 人的人力配置？</w:t>
            </w:r>
          </w:p>
        </w:tc>
        <w:tc>
          <w:tcPr>
            <w:tcW w:type="dxa" w:w="4309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数据集论文必须包含下游策略结果，无算力即无实验，也就无法发表。</w:t>
            </w:r>
          </w:p>
        </w:tc>
        <w:tc>
          <w:tcPr>
            <w:tcW w:type="dxa" w:w="1191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2026 年 11 月底</w:t>
            </w:r>
          </w:p>
        </w:tc>
      </w:tr>
    </w:tbl>
    <w:p>
      <w:pPr>
        <w:spacing w:after="40"/>
      </w:pPr>
    </w:p>
    <w:p>
      <w:pPr>
        <w:pStyle w:val="Heading1"/>
        <w:spacing w:before="280" w:after="120"/>
      </w:pPr>
      <w:r>
        <w:rPr>
          <w:rFonts w:ascii="Arial" w:hAnsi="Arial" w:eastAsia="黑体"/>
          <w:b/>
          <w:sz w:val="32"/>
        </w:rPr>
        <w:t>七、工程前置与时间表</w:t>
      </w:r>
    </w:p>
    <w:p>
      <w:pPr>
        <w:pStyle w:val="Heading2"/>
        <w:spacing w:before="200" w:after="120"/>
      </w:pPr>
      <w:r>
        <w:rPr>
          <w:rFonts w:ascii="Arial" w:hAnsi="Arial" w:eastAsia="黑体"/>
          <w:b/>
          <w:sz w:val="27"/>
        </w:rPr>
        <w:t>7.1 关键路径（按依赖顺序）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79"/>
        <w:gridCol w:w="2379"/>
        <w:gridCol w:w="2379"/>
        <w:gridCol w:w="2379"/>
      </w:tblGrid>
      <w:tr>
        <w:tc>
          <w:tcPr>
            <w:tcW w:type="dxa" w:w="510"/>
            <w:shd w:val="clear" w:color="auto" w:fill="E8EEF7"/>
          </w:tcPr>
          <w:p>
            <w:pPr>
              <w:spacing w:after="20"/>
            </w:pPr>
            <w:r/>
            <w:r>
              <w:rPr>
                <w:rFonts w:ascii="Arial" w:hAnsi="Arial" w:eastAsia="黑体"/>
                <w:b/>
                <w:sz w:val="19"/>
              </w:rPr>
              <w:t>#</w:t>
            </w:r>
          </w:p>
        </w:tc>
        <w:tc>
          <w:tcPr>
            <w:tcW w:type="dxa" w:w="4309"/>
            <w:shd w:val="clear" w:color="auto" w:fill="E8EEF7"/>
          </w:tcPr>
          <w:p>
            <w:pPr>
              <w:spacing w:after="20"/>
            </w:pPr>
            <w:r/>
            <w:r>
              <w:rPr>
                <w:rFonts w:ascii="Arial" w:hAnsi="Arial" w:eastAsia="黑体"/>
                <w:b/>
                <w:sz w:val="19"/>
              </w:rPr>
              <w:t>工作项</w:t>
            </w:r>
          </w:p>
        </w:tc>
        <w:tc>
          <w:tcPr>
            <w:tcW w:type="dxa" w:w="1474"/>
            <w:shd w:val="clear" w:color="auto" w:fill="E8EEF7"/>
          </w:tcPr>
          <w:p>
            <w:pPr>
              <w:spacing w:after="20"/>
            </w:pPr>
            <w:r/>
            <w:r>
              <w:rPr>
                <w:rFonts w:ascii="Arial" w:hAnsi="Arial" w:eastAsia="黑体"/>
                <w:b/>
                <w:sz w:val="19"/>
              </w:rPr>
              <w:t>依赖</w:t>
            </w:r>
          </w:p>
        </w:tc>
        <w:tc>
          <w:tcPr>
            <w:tcW w:type="dxa" w:w="2778"/>
            <w:shd w:val="clear" w:color="auto" w:fill="E8EEF7"/>
          </w:tcPr>
          <w:p>
            <w:pPr>
              <w:spacing w:after="20"/>
            </w:pPr>
            <w:r/>
            <w:r>
              <w:rPr>
                <w:rFonts w:ascii="Arial" w:hAnsi="Arial" w:eastAsia="黑体"/>
                <w:b/>
                <w:sz w:val="19"/>
              </w:rPr>
              <w:t>计划时间</w:t>
            </w:r>
          </w:p>
        </w:tc>
      </w:tr>
      <w:tr>
        <w:tc>
          <w:tcPr>
            <w:tcW w:type="dxa" w:w="510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1</w:t>
            </w:r>
          </w:p>
        </w:tc>
        <w:tc>
          <w:tcPr>
            <w:tcW w:type="dxa" w:w="4309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真机验收：真实执行关节跟随指令、复位、长时间运行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—</w:t>
            </w:r>
          </w:p>
        </w:tc>
        <w:tc>
          <w:tcPr>
            <w:tcW w:type="dxa" w:w="2778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2026-10 ~ 12</w:t>
            </w:r>
          </w:p>
        </w:tc>
      </w:tr>
      <w:tr>
        <w:tc>
          <w:tcPr>
            <w:tcW w:type="dxa" w:w="510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2</w:t>
            </w:r>
          </w:p>
        </w:tc>
        <w:tc>
          <w:tcPr>
            <w:tcW w:type="dxa" w:w="4309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逐轴实测定案，补全坐标系数值表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1</w:t>
            </w:r>
          </w:p>
        </w:tc>
        <w:tc>
          <w:tcPr>
            <w:tcW w:type="dxa" w:w="2778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2026-10 ~ 11</w:t>
            </w:r>
          </w:p>
        </w:tc>
      </w:tr>
      <w:tr>
        <w:tc>
          <w:tcPr>
            <w:tcW w:type="dxa" w:w="510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3</w:t>
            </w:r>
          </w:p>
        </w:tc>
        <w:tc>
          <w:tcPr>
            <w:tcW w:type="dxa" w:w="4309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伦理审批申报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—</w:t>
            </w:r>
          </w:p>
        </w:tc>
        <w:tc>
          <w:tcPr>
            <w:tcW w:type="dxa" w:w="2778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立即启动，约 1–3 个月</w:t>
            </w:r>
          </w:p>
        </w:tc>
      </w:tr>
      <w:tr>
        <w:tc>
          <w:tcPr>
            <w:tcW w:type="dxa" w:w="510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4</w:t>
            </w:r>
          </w:p>
        </w:tc>
        <w:tc>
          <w:tcPr>
            <w:tcW w:type="dxa" w:w="4309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相机接入（腕部 + 第三人称）并接入 VR 显示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1</w:t>
            </w:r>
          </w:p>
        </w:tc>
        <w:tc>
          <w:tcPr>
            <w:tcW w:type="dxa" w:w="2778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2026-11 ~ 12</w:t>
            </w:r>
          </w:p>
        </w:tc>
      </w:tr>
      <w:tr>
        <w:tc>
          <w:tcPr>
            <w:tcW w:type="dxa" w:w="510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5</w:t>
            </w:r>
          </w:p>
        </w:tc>
        <w:tc>
          <w:tcPr>
            <w:tcW w:type="dxa" w:w="4309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夹爪接入（当前采集器无夹爪数据）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1</w:t>
            </w:r>
          </w:p>
        </w:tc>
        <w:tc>
          <w:tcPr>
            <w:tcW w:type="dxa" w:w="2778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2026-11</w:t>
            </w:r>
          </w:p>
        </w:tc>
      </w:tr>
      <w:tr>
        <w:tc>
          <w:tcPr>
            <w:tcW w:type="dxa" w:w="510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6</w:t>
            </w:r>
          </w:p>
        </w:tc>
        <w:tc>
          <w:tcPr>
            <w:tcW w:type="dxa" w:w="4309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运动学事件与安全事件记录器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1</w:t>
            </w:r>
          </w:p>
        </w:tc>
        <w:tc>
          <w:tcPr>
            <w:tcW w:type="dxa" w:w="2778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2026-11</w:t>
            </w:r>
          </w:p>
        </w:tc>
      </w:tr>
      <w:tr>
        <w:tc>
          <w:tcPr>
            <w:tcW w:type="dxa" w:w="510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7</w:t>
            </w:r>
          </w:p>
        </w:tc>
        <w:tc>
          <w:tcPr>
            <w:tcW w:type="dxa" w:w="4309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异步写盘，并实测采集开启前后的控制周期时序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6</w:t>
            </w:r>
          </w:p>
        </w:tc>
        <w:tc>
          <w:tcPr>
            <w:tcW w:type="dxa" w:w="2778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2026-12</w:t>
            </w:r>
          </w:p>
        </w:tc>
      </w:tr>
      <w:tr>
        <w:tc>
          <w:tcPr>
            <w:tcW w:type="dxa" w:w="510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8</w:t>
            </w:r>
          </w:p>
        </w:tc>
        <w:tc>
          <w:tcPr>
            <w:tcW w:type="dxa" w:w="4309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真机采集链路接入（当前采集器仅挂仿真）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4,5,6,7</w:t>
            </w:r>
          </w:p>
        </w:tc>
        <w:tc>
          <w:tcPr>
            <w:tcW w:type="dxa" w:w="2778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2026-12</w:t>
            </w:r>
          </w:p>
        </w:tc>
      </w:tr>
      <w:tr>
        <w:tc>
          <w:tcPr>
            <w:tcW w:type="dxa" w:w="510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9</w:t>
            </w:r>
          </w:p>
        </w:tc>
        <w:tc>
          <w:tcPr>
            <w:tcW w:type="dxa" w:w="4309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跨安装朝向实验台：更换底座朝向、重新标定映射与工作空间、安全评估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2, 1</w:t>
            </w:r>
          </w:p>
        </w:tc>
        <w:tc>
          <w:tcPr>
            <w:tcW w:type="dxa" w:w="2778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2027-01 ~ 02</w:t>
            </w:r>
          </w:p>
        </w:tc>
      </w:tr>
      <w:tr>
        <w:tc>
          <w:tcPr>
            <w:tcW w:type="dxa" w:w="510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10</w:t>
            </w:r>
          </w:p>
        </w:tc>
        <w:tc>
          <w:tcPr>
            <w:tcW w:type="dxa" w:w="4309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端到端试点采集 50 条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8,9</w:t>
            </w:r>
          </w:p>
        </w:tc>
        <w:tc>
          <w:tcPr>
            <w:tcW w:type="dxa" w:w="2778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2027-02</w:t>
            </w:r>
          </w:p>
        </w:tc>
      </w:tr>
      <w:tr>
        <w:tc>
          <w:tcPr>
            <w:tcW w:type="dxa" w:w="510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11</w:t>
            </w:r>
          </w:p>
        </w:tc>
        <w:tc>
          <w:tcPr>
            <w:tcW w:type="dxa" w:w="4309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正式采集约 1200 条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10</w:t>
            </w:r>
          </w:p>
        </w:tc>
        <w:tc>
          <w:tcPr>
            <w:tcW w:type="dxa" w:w="2778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2027-03 ~ 05</w:t>
            </w:r>
          </w:p>
        </w:tc>
      </w:tr>
      <w:tr>
        <w:tc>
          <w:tcPr>
            <w:tcW w:type="dxa" w:w="510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12</w:t>
            </w:r>
          </w:p>
        </w:tc>
        <w:tc>
          <w:tcPr>
            <w:tcW w:type="dxa" w:w="4309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策略训练与三个实验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11 + GPU</w:t>
            </w:r>
          </w:p>
        </w:tc>
        <w:tc>
          <w:tcPr>
            <w:tcW w:type="dxa" w:w="2778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2027-05 ~ 07</w:t>
            </w:r>
          </w:p>
        </w:tc>
      </w:tr>
      <w:tr>
        <w:tc>
          <w:tcPr>
            <w:tcW w:type="dxa" w:w="510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13</w:t>
            </w:r>
          </w:p>
        </w:tc>
        <w:tc>
          <w:tcPr>
            <w:tcW w:type="dxa" w:w="4309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Datasheet、Croissant、托管上线、论文写作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12</w:t>
            </w:r>
          </w:p>
        </w:tc>
        <w:tc>
          <w:tcPr>
            <w:tcW w:type="dxa" w:w="2778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2027-07 ~ 08</w:t>
            </w:r>
          </w:p>
        </w:tc>
      </w:tr>
    </w:tbl>
    <w:p>
      <w:pPr>
        <w:spacing w:after="40"/>
      </w:pPr>
    </w:p>
    <w:p>
      <w:pPr>
        <w:pStyle w:val="Heading2"/>
        <w:spacing w:before="200" w:after="120"/>
      </w:pPr>
      <w:r>
        <w:rPr>
          <w:rFonts w:ascii="Arial" w:hAnsi="Arial" w:eastAsia="黑体"/>
          <w:b/>
          <w:sz w:val="27"/>
        </w:rPr>
        <w:t>7.2 目标会议与截稿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79"/>
        <w:gridCol w:w="2379"/>
        <w:gridCol w:w="2379"/>
        <w:gridCol w:w="2379"/>
      </w:tblGrid>
      <w:tr>
        <w:tc>
          <w:tcPr>
            <w:tcW w:type="dxa" w:w="1247"/>
            <w:shd w:val="clear" w:color="auto" w:fill="E8EEF7"/>
          </w:tcPr>
          <w:p>
            <w:pPr>
              <w:spacing w:after="20"/>
            </w:pPr>
            <w:r/>
            <w:r>
              <w:rPr>
                <w:rFonts w:ascii="Arial" w:hAnsi="Arial" w:eastAsia="黑体"/>
                <w:b/>
                <w:sz w:val="19"/>
              </w:rPr>
              <w:t>优先级</w:t>
            </w:r>
          </w:p>
        </w:tc>
        <w:tc>
          <w:tcPr>
            <w:tcW w:type="dxa" w:w="2835"/>
            <w:shd w:val="clear" w:color="auto" w:fill="E8EEF7"/>
          </w:tcPr>
          <w:p>
            <w:pPr>
              <w:spacing w:after="20"/>
            </w:pPr>
            <w:r/>
            <w:r>
              <w:rPr>
                <w:rFonts w:ascii="Arial" w:hAnsi="Arial" w:eastAsia="黑体"/>
                <w:b/>
                <w:sz w:val="19"/>
              </w:rPr>
              <w:t>目标</w:t>
            </w:r>
          </w:p>
        </w:tc>
        <w:tc>
          <w:tcPr>
            <w:tcW w:type="dxa" w:w="2041"/>
            <w:shd w:val="clear" w:color="auto" w:fill="E8EEF7"/>
          </w:tcPr>
          <w:p>
            <w:pPr>
              <w:spacing w:after="20"/>
            </w:pPr>
            <w:r/>
            <w:r>
              <w:rPr>
                <w:rFonts w:ascii="Arial" w:hAnsi="Arial" w:eastAsia="黑体"/>
                <w:b/>
                <w:sz w:val="19"/>
              </w:rPr>
              <w:t>预计截稿</w:t>
            </w:r>
          </w:p>
        </w:tc>
        <w:tc>
          <w:tcPr>
            <w:tcW w:type="dxa" w:w="2948"/>
            <w:shd w:val="clear" w:color="auto" w:fill="E8EEF7"/>
          </w:tcPr>
          <w:p>
            <w:pPr>
              <w:spacing w:after="20"/>
            </w:pPr>
            <w:r/>
            <w:r>
              <w:rPr>
                <w:rFonts w:ascii="Arial" w:hAnsi="Arial" w:eastAsia="黑体"/>
                <w:b/>
                <w:sz w:val="19"/>
              </w:rPr>
              <w:t>备注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首选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NeurIPS 2027 Datasets &amp; Benchmarks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约 2027 年 5–6 月</w:t>
            </w:r>
          </w:p>
        </w:tc>
        <w:tc>
          <w:tcPr>
            <w:tcW w:type="dxa" w:w="2948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数据集工作唯一的专属顶级赛道；时间较紧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稳妥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CVPR 2028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约 2027 年 11 月</w:t>
            </w:r>
          </w:p>
        </w:tc>
        <w:tc>
          <w:tcPr>
            <w:tcW w:type="dxa" w:w="2948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接收数据集与基准类工作（RoboTwin 为 CVPR 2025 Highlight）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稳妥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ICLR 2028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约 2027 年 9 月</w:t>
            </w:r>
          </w:p>
        </w:tc>
        <w:tc>
          <w:tcPr>
            <w:tcW w:type="dxa" w:w="2948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RoboCasa365 即走此路线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保底</w:t>
            </w:r>
          </w:p>
          <w:p>
            <w:pPr>
              <w:spacing w:after="20"/>
            </w:pPr>
            <w:r>
              <w:rPr>
                <w:rFonts w:ascii="Times New Roman" w:hAnsi="Times New Roman" w:eastAsia="宋体"/>
                <w:sz w:val="19"/>
              </w:rPr>
              <w:t>（非 CCF A）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RSS 2027 / 2028 Demo track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约 2027 年 1 月 / 2028 年 1 月</w:t>
            </w:r>
          </w:p>
        </w:tc>
        <w:tc>
          <w:tcPr>
            <w:tcW w:type="dxa" w:w="2948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RSS 官方明确接收数据集与基准；但 RSS 不在 CCF 目录内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副线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IEEE VR 2028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约 2027 年 8 月</w:t>
            </w:r>
          </w:p>
        </w:tc>
        <w:tc>
          <w:tcPr>
            <w:tcW w:type="dxa" w:w="2948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人因研究，见 §8</w:t>
            </w:r>
          </w:p>
        </w:tc>
      </w:tr>
    </w:tbl>
    <w:p>
      <w:pPr>
        <w:spacing w:after="40"/>
      </w:pPr>
    </w:p>
    <w:p>
      <w:pPr>
        <w:spacing w:before="80" w:after="160"/>
        <w:ind w:left="227"/>
      </w:pPr>
      <w:r>
        <w:rPr>
          <w:rFonts w:ascii="Times New Roman" w:hAnsi="Times New Roman" w:eastAsia="楷体"/>
          <w:color w:val="444444"/>
          <w:sz w:val="20"/>
        </w:rPr>
        <w:t>已错过的窗口（供参考）：CVPR 2027 全文截稿 2026-11-16；ICLR 2027 摘要截止 2026-09-18 已过且官方不允许事后增删作者；NeurIPS 2026 已关闭。</w:t>
      </w:r>
    </w:p>
    <w:p>
      <w:pPr>
        <w:pStyle w:val="Heading1"/>
        <w:spacing w:before="280" w:after="120"/>
      </w:pPr>
      <w:r>
        <w:rPr>
          <w:rFonts w:ascii="Arial" w:hAnsi="Arial" w:eastAsia="黑体"/>
          <w:b/>
          <w:sz w:val="32"/>
        </w:rPr>
        <w:t>八、风险与备选方案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79"/>
        <w:gridCol w:w="2379"/>
        <w:gridCol w:w="2379"/>
        <w:gridCol w:w="2379"/>
      </w:tblGrid>
      <w:tr>
        <w:tc>
          <w:tcPr>
            <w:tcW w:type="dxa" w:w="1928"/>
            <w:shd w:val="clear" w:color="auto" w:fill="E8EEF7"/>
          </w:tcPr>
          <w:p>
            <w:pPr>
              <w:spacing w:after="20"/>
            </w:pPr>
            <w:r/>
            <w:r>
              <w:rPr>
                <w:rFonts w:ascii="Arial" w:hAnsi="Arial" w:eastAsia="黑体"/>
                <w:b/>
                <w:sz w:val="19"/>
              </w:rPr>
              <w:t>风险</w:t>
            </w:r>
          </w:p>
        </w:tc>
        <w:tc>
          <w:tcPr>
            <w:tcW w:type="dxa" w:w="850"/>
            <w:shd w:val="clear" w:color="auto" w:fill="E8EEF7"/>
          </w:tcPr>
          <w:p>
            <w:pPr>
              <w:spacing w:after="20"/>
            </w:pPr>
            <w:r/>
            <w:r>
              <w:rPr>
                <w:rFonts w:ascii="Arial" w:hAnsi="Arial" w:eastAsia="黑体"/>
                <w:b/>
                <w:sz w:val="19"/>
              </w:rPr>
              <w:t>概率</w:t>
            </w:r>
          </w:p>
        </w:tc>
        <w:tc>
          <w:tcPr>
            <w:tcW w:type="dxa" w:w="1587"/>
            <w:shd w:val="clear" w:color="auto" w:fill="E8EEF7"/>
          </w:tcPr>
          <w:p>
            <w:pPr>
              <w:spacing w:after="20"/>
            </w:pPr>
            <w:r/>
            <w:r>
              <w:rPr>
                <w:rFonts w:ascii="Arial" w:hAnsi="Arial" w:eastAsia="黑体"/>
                <w:b/>
                <w:sz w:val="19"/>
              </w:rPr>
              <w:t>影响</w:t>
            </w:r>
          </w:p>
        </w:tc>
        <w:tc>
          <w:tcPr>
            <w:tcW w:type="dxa" w:w="4706"/>
            <w:shd w:val="clear" w:color="auto" w:fill="E8EEF7"/>
          </w:tcPr>
          <w:p>
            <w:pPr>
              <w:spacing w:after="20"/>
            </w:pPr>
            <w:r/>
            <w:r>
              <w:rPr>
                <w:rFonts w:ascii="Arial" w:hAnsi="Arial" w:eastAsia="黑体"/>
                <w:b/>
                <w:sz w:val="19"/>
              </w:rPr>
              <w:t>应对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真机验收拖期</w:t>
            </w:r>
          </w:p>
        </w:tc>
        <w:tc>
          <w:tcPr>
            <w:tcW w:type="dxa" w:w="850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中高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全盘后移</w:t>
            </w:r>
          </w:p>
        </w:tc>
        <w:tc>
          <w:tcPr>
            <w:tcW w:type="dxa" w:w="4706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设硬性节点：2026-12-31 未跑通则时间表整体后移 3 个月，目标改 CVPR 2028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RM65 无法更换安装朝向</w:t>
            </w:r>
          </w:p>
        </w:tc>
        <w:tc>
          <w:tcPr>
            <w:tcW w:type="dxa" w:w="850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中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核心自变量消失</w:t>
            </w:r>
          </w:p>
        </w:tc>
        <w:tc>
          <w:tcPr>
            <w:tcW w:type="dxa" w:w="4706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备选方案 B：自变量降级为「操作者参考系 vs 世界锚定参考系」，数据集降为副产品；或改为仿真中改变基座朝向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D&amp;B track 不被认定为 CCF A</w:t>
            </w:r>
          </w:p>
        </w:tc>
        <w:tc>
          <w:tcPr>
            <w:tcW w:type="dxa" w:w="850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中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投稿目标变更</w:t>
            </w:r>
          </w:p>
        </w:tc>
        <w:tc>
          <w:tcPr>
            <w:tcW w:type="dxa" w:w="4706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备选方案 A：直接瞄准 CVPR 2028 或 ICLR 2028，方案主体不变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无可用 GPU</w:t>
            </w:r>
          </w:p>
        </w:tc>
        <w:tc>
          <w:tcPr>
            <w:tcW w:type="dxa" w:w="850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中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无法完成下游实验</w:t>
            </w:r>
          </w:p>
        </w:tc>
        <w:tc>
          <w:tcPr>
            <w:tcW w:type="dxa" w:w="4706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退化为「数据集 + 运动学事件分析」，但通过 A 类的概率大幅下降，应优先争取算力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采集到低质量数据</w:t>
            </w:r>
          </w:p>
        </w:tc>
        <w:tc>
          <w:tcPr>
            <w:tcW w:type="dxa" w:w="850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中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数据作废</w:t>
            </w:r>
          </w:p>
        </w:tc>
        <w:tc>
          <w:tcPr>
            <w:tcW w:type="dxa" w:w="4706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方向未实测定案前不得开始正式采集；先采 50 条试点并做一次筛选实验验证信号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被他人抢先发表</w:t>
            </w:r>
          </w:p>
        </w:tc>
        <w:tc>
          <w:tcPr>
            <w:tcW w:type="dxa" w:w="850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低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—</w:t>
            </w:r>
          </w:p>
        </w:tc>
        <w:tc>
          <w:tcPr>
            <w:tcW w:type="dxa" w:w="4706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安装朝向这一维度目前无人占位；建议自 2026 年 12 月起定期复查 arXiv</w:t>
            </w:r>
          </w:p>
        </w:tc>
      </w:tr>
    </w:tbl>
    <w:p>
      <w:pPr>
        <w:spacing w:after="40"/>
      </w:pPr>
    </w:p>
    <w:p>
      <w:pPr>
        <w:pStyle w:val="Heading2"/>
        <w:spacing w:before="200" w:after="120"/>
      </w:pPr>
      <w:r>
        <w:rPr>
          <w:rFonts w:ascii="Arial" w:hAnsi="Arial" w:eastAsia="黑体"/>
          <w:b/>
          <w:sz w:val="27"/>
        </w:rPr>
        <w:t>8.1 与 IEEE VR 副线的关系</w:t>
      </w:r>
    </w:p>
    <w:p>
      <w:r>
        <w:rPr>
          <w:rFonts w:ascii="Times New Roman" w:hAnsi="Times New Roman" w:eastAsia="宋体"/>
          <w:b w:val="0"/>
          <w:sz w:val="21"/>
        </w:rPr>
        <w:t>IEEE VR 2028（约 2027 年 8 月截稿）的人因研究路线不必放弃，它与数据集主线共用全部基础设施（真机验收、逐轴实测、相机接入、伦理审批），且可复用采集数据中操作者的主观评分，边际成本很低。但建议先打通采集流程，再启动副线，不建议同时开工。</w:t>
      </w:r>
    </w:p>
    <w:p>
      <w:pPr>
        <w:pStyle w:val="Heading1"/>
        <w:spacing w:before="280" w:after="120"/>
      </w:pPr>
      <w:r>
        <w:rPr>
          <w:rFonts w:ascii="Arial" w:hAnsi="Arial" w:eastAsia="黑体"/>
          <w:b/>
          <w:sz w:val="32"/>
        </w:rPr>
        <w:t>九、附录：关键证据来源</w:t>
      </w:r>
    </w:p>
    <w:p>
      <w:r>
        <w:rPr>
          <w:rFonts w:ascii="Times New Roman" w:hAnsi="Times New Roman" w:eastAsia="宋体"/>
          <w:b w:val="0"/>
          <w:sz w:val="20"/>
        </w:rPr>
        <w:t>以下事实均已逐条核验并附出处，完整清单（约 150 个 URL）见仓库内调研报告。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759"/>
        <w:gridCol w:w="4759"/>
      </w:tblGrid>
      <w:tr>
        <w:tc>
          <w:tcPr>
            <w:tcW w:type="dxa" w:w="3628"/>
            <w:shd w:val="clear" w:color="auto" w:fill="E8EEF7"/>
          </w:tcPr>
          <w:p>
            <w:pPr>
              <w:spacing w:after="20"/>
            </w:pPr>
            <w:r/>
            <w:r>
              <w:rPr>
                <w:rFonts w:ascii="Arial" w:hAnsi="Arial" w:eastAsia="黑体"/>
                <w:b/>
                <w:sz w:val="19"/>
              </w:rPr>
              <w:t>结论</w:t>
            </w:r>
          </w:p>
        </w:tc>
        <w:tc>
          <w:tcPr>
            <w:tcW w:type="dxa" w:w="5443"/>
            <w:shd w:val="clear" w:color="auto" w:fill="E8EEF7"/>
          </w:tcPr>
          <w:p>
            <w:pPr>
              <w:spacing w:after="20"/>
            </w:pPr>
            <w:r/>
            <w:r>
              <w:rPr>
                <w:rFonts w:ascii="Arial" w:hAnsi="Arial" w:eastAsia="黑体"/>
                <w:b/>
                <w:sz w:val="19"/>
              </w:rPr>
              <w:t>来源</w:t>
            </w:r>
          </w:p>
        </w:tc>
      </w:tr>
      <w:tr>
        <w:tc>
          <w:tcPr>
            <w:tcW w:type="dxa" w:w="3628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CCF 目录第七版发布与变动</w:t>
            </w:r>
          </w:p>
        </w:tc>
        <w:tc>
          <w:tcPr>
            <w:tcW w:type="dxa" w:w="5443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中国计算机学会官网，2026-03-31 发布（含官方 PDF 原文，与第六版逐条对照）</w:t>
            </w:r>
          </w:p>
        </w:tc>
      </w:tr>
      <w:tr>
        <w:tc>
          <w:tcPr>
            <w:tcW w:type="dxa" w:w="3628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IEEE VR 与 TVCG 为 CCF A；IEEE VR 主赛道论文发表于 TVCG</w:t>
            </w:r>
          </w:p>
        </w:tc>
        <w:tc>
          <w:tcPr>
            <w:tcW w:type="dxa" w:w="5443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IEEE VR 官方征稿页（单一投稿、统一评审、三种结果）</w:t>
            </w:r>
          </w:p>
        </w:tc>
      </w:tr>
      <w:tr>
        <w:tc>
          <w:tcPr>
            <w:tcW w:type="dxa" w:w="3628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IEEE VR 截稿与投稿要求</w:t>
            </w:r>
          </w:p>
        </w:tc>
        <w:tc>
          <w:tcPr>
            <w:tcW w:type="dxa" w:w="5443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IEEE VR 2026 / 2027 官方 Call for Papers</w:t>
            </w:r>
          </w:p>
        </w:tc>
      </w:tr>
      <w:tr>
        <w:tc>
          <w:tcPr>
            <w:tcW w:type="dxa" w:w="3628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ICRA = CCF B、IROS = CCF C、T-RO = B、RA-L/RSS/CoRL 不在目录</w:t>
            </w:r>
          </w:p>
        </w:tc>
        <w:tc>
          <w:tcPr>
            <w:tcW w:type="dxa" w:w="5443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CCF 目录第七版 PDF 逐条核对</w:t>
            </w:r>
          </w:p>
        </w:tc>
      </w:tr>
      <w:tr>
        <w:tc>
          <w:tcPr>
            <w:tcW w:type="dxa" w:w="3628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本方向发表版图（约 45 篇）</w:t>
            </w:r>
          </w:p>
        </w:tc>
        <w:tc>
          <w:tcPr>
            <w:tcW w:type="dxa" w:w="5443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PMLR（CoRL 2024 v270 / 2025 v305）、RSS 官方论文集（rss19–rss21）、出版方 DOI 记录、arXiv</w:t>
            </w:r>
          </w:p>
        </w:tc>
      </w:tr>
      <w:tr>
        <w:tc>
          <w:tcPr>
            <w:tcW w:type="dxa" w:w="3628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头部数据集规模</w:t>
            </w:r>
          </w:p>
        </w:tc>
        <w:tc>
          <w:tcPr>
            <w:tcW w:type="dxa" w:w="5443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RSS XXI 官方论文页（RoboMIND）、DROID 官方项目页、AgiBot World 论文、Open X-Embodiment 官方页</w:t>
            </w:r>
          </w:p>
        </w:tc>
      </w:tr>
      <w:tr>
        <w:tc>
          <w:tcPr>
            <w:tcW w:type="dxa" w:w="3628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BRS 使用非 VR 的 JoyLo 接口并优于 VR</w:t>
            </w:r>
          </w:p>
        </w:tc>
        <w:tc>
          <w:tcPr>
            <w:tcW w:type="dxa" w:w="5443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CoRL 2025 论文与官方项目页（10 人用户研究）</w:t>
            </w:r>
          </w:p>
        </w:tc>
      </w:tr>
      <w:tr>
        <w:tc>
          <w:tcPr>
            <w:tcW w:type="dxa" w:w="3628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LIBERO 基准可被刷分</w:t>
            </w:r>
          </w:p>
        </w:tc>
        <w:tc>
          <w:tcPr>
            <w:tcW w:type="dxa" w:w="5443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What Are We Actually Benchmarking in Robot Manipulation?（arXiv:2606.04233）</w:t>
            </w:r>
          </w:p>
        </w:tc>
      </w:tr>
      <w:tr>
        <w:tc>
          <w:tcPr>
            <w:tcW w:type="dxa" w:w="3628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CUPID 使用不足 33% 筛选数据达到 SOTA</w:t>
            </w:r>
          </w:p>
        </w:tc>
        <w:tc>
          <w:tcPr>
            <w:tcW w:type="dxa" w:w="5443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CoRL 2025，PMLR v305:2907–2932</w:t>
            </w:r>
          </w:p>
        </w:tc>
      </w:tr>
      <w:tr>
        <w:tc>
          <w:tcPr>
            <w:tcW w:type="dxa" w:w="3628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NeurIPS D&amp;B track 的定位与硬性要求</w:t>
            </w:r>
          </w:p>
        </w:tc>
        <w:tc>
          <w:tcPr>
            <w:tcW w:type="dxa" w:w="5443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sz w:val="19"/>
              </w:rPr>
              <w:t>NeurIPS 官方 FAQ 与征稿说明</w:t>
            </w:r>
          </w:p>
        </w:tc>
      </w:tr>
    </w:tbl>
    <w:p>
      <w:pPr>
        <w:spacing w:after="40"/>
      </w:pPr>
    </w:p>
    <w:p/>
    <w:p>
      <w:pPr>
        <w:jc w:val="right"/>
      </w:pPr>
      <w:r>
        <w:rPr>
          <w:rFonts w:ascii="Times New Roman" w:hAnsi="Times New Roman" w:eastAsia="楷体"/>
          <w:color w:val="666666"/>
          <w:sz w:val="18"/>
        </w:rPr>
        <w:t>（本方案为调研结论，具体数值与截稿日期请以各会议官方最新公告为准。）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8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