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2"/>
                <w:szCs w:val="22"/>
              </w:rPr>
              <w:t xml:space="preserve">PROCÉDURE</w:t>
            </w:r>
          </w:p>
          <w:p>
            <w:pPr>
              <w:pStyle w:val="Heading1"/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Mise à jour du Firmware</w:t>
            </w:r>
          </w:p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8"/>
                <w:szCs w:val="28"/>
              </w:rPr>
              <w:t xml:space="preserve">FortiManager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Important 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Cette procédure décrit la mise à jour du firmware depuis la console FortiManager.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 connecter sur la console FortiManager</w:t>
            </w:r>
          </w:p>
        </w:tc>
      </w:tr>
    </w:tbl>
    <w:p>
      <w:pPr>
        <w:spacing w:after="120"/>
      </w:pPr>
    </w:p>
    <w:p>
      <w:pPr>
        <w:spacing w:before="100" w:after="160"/>
        <w:jc w:val="center"/>
      </w:pPr>
      <w:r>
        <w:drawing>
          <wp:inline distT="0" distB="0" distL="0" distR="0">
            <wp:extent cx="11480006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006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00" w:after="160"/>
        <w:jc w:val="center"/>
      </w:pPr>
      <w:r>
        <w:drawing>
          <wp:inline distT="0" distB="0" distL="0" distR="0">
            <wp:extent cx="1300163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Accéder à la section de mise à jour du firmware</w:t>
            </w:r>
          </w:p>
        </w:tc>
      </w:tr>
    </w:tbl>
    <w:p>
      <w:pPr>
        <w:spacing w:after="120"/>
      </w:pPr>
    </w:p>
    <w:p>
      <w:pPr>
        <w:spacing w:before="100" w:after="160"/>
        <w:jc w:val="center"/>
      </w:pPr>
      <w:r>
        <w:drawing>
          <wp:inline distT="0" distB="0" distL="0" distR="0">
            <wp:extent cx="6700838" cy="16216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838" cy="16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Sélectionner et lancer la mise à jour</w:t>
            </w:r>
          </w:p>
        </w:tc>
      </w:tr>
    </w:tbl>
    <w:p>
      <w:pPr>
        <w:spacing w:after="120"/>
      </w:pPr>
    </w:p>
    <w:p>
      <w:pPr>
        <w:spacing w:before="100" w:after="160"/>
        <w:jc w:val="center"/>
      </w:pPr>
      <w:r>
        <w:drawing>
          <wp:inline distT="0" distB="0" distL="0" distR="0">
            <wp:extent cx="6650831" cy="25860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831" cy="2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Confirmer et finaliser la mise à jour</w:t>
            </w:r>
          </w:p>
        </w:tc>
      </w:tr>
    </w:tbl>
    <w:p>
      <w:pPr>
        <w:spacing w:after="120"/>
      </w:pPr>
    </w:p>
    <w:p>
      <w:pPr>
        <w:spacing w:before="100" w:after="160"/>
        <w:jc w:val="center"/>
      </w:pPr>
      <w:r>
        <w:drawing>
          <wp:inline distT="0" distB="0" distL="0" distR="0">
            <wp:extent cx="6722269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269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8"/>
        <w:szCs w:val="18"/>
      </w:rPr>
      <w:t xml:space="preserve">Objet : Mise à jour du firmware FortiManager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2E75B6"/>
        <w:sz w:val="24"/>
        <w:szCs w:val="24"/>
      </w:rPr>
      <w:t xml:space="preserve">FINAXIOME</w:t>
    </w:r>
    <w:r>
      <w:rPr>
        <w:rFonts w:ascii="Arial" w:cs="Arial" w:eastAsia="Arial" w:hAnsi="Arial"/>
        <w:color w:val="999999"/>
        <w:sz w:val="20"/>
        <w:szCs w:val="20"/>
      </w:rPr>
      <w:t xml:space="preserve">  —  Support 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936a058e6967cc50a70431ac56a18f2513abb79.png"/><Relationship Id="rId9" Type="http://schemas.openxmlformats.org/officeDocument/2006/relationships/image" Target="media/067dca04e5de0705846b6f80048bbdf864133d65.png"/><Relationship Id="rId10" Type="http://schemas.openxmlformats.org/officeDocument/2006/relationships/image" Target="media/0a01aaa770a10e76f6dbf68dd0d4e5e2689adbd7.png"/><Relationship Id="rId11" Type="http://schemas.openxmlformats.org/officeDocument/2006/relationships/image" Target="media/42d835fdc6b6824a00f637bd7de63cb89dcc7735.png"/><Relationship Id="rId12" Type="http://schemas.openxmlformats.org/officeDocument/2006/relationships/image" Target="media/8f468419a4dde537d3b29f3b78450e7331e0bbcd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2026-03-04T14:49:39.397Z</dcterms:created>
  <dcterms:modified xsi:type="dcterms:W3CDTF">2026-03-04T14:49:39.398Z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