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2E75B6" w:val="clear"/>
            <w:tcMar>
              <w:top w:type="dxa" w:w="300"/>
              <w:left w:type="dxa" w:w="360"/>
              <w:bottom w:type="dxa" w:w="300"/>
              <w:right w:type="dxa" w:w="360"/>
            </w:tcMar>
          </w:tcPr>
          <w:p>
            <w:pPr>
              <w:pStyle w:val="Heading1"/>
              <w:jc w:val="center"/>
            </w:pPr>
            <w:r>
              <w:rPr>
                <w:rFonts w:ascii="Arial" w:cs="Arial" w:eastAsia="Arial" w:hAnsi="Arial"/>
                <w:b w:val="false"/>
                <w:bCs w:val="false"/>
                <w:color w:val="D0E8FF"/>
                <w:sz w:val="22"/>
                <w:szCs w:val="22"/>
              </w:rPr>
              <w:t xml:space="preserve">PROCÉDURE</w:t>
            </w:r>
          </w:p>
          <w:p>
            <w:pPr>
              <w:pStyle w:val="Heading1"/>
              <w:spacing w:before="40" w:after="40"/>
              <w:jc w:val="center"/>
            </w:pPr>
            <w:r>
              <w:rPr>
                <w:rFonts w:ascii="Arial" w:cs="Arial" w:eastAsia="Arial" w:hAnsi="Arial"/>
                <w:b/>
                <w:bCs/>
                <w:color w:val="FFFFFF"/>
                <w:sz w:val="38"/>
                <w:szCs w:val="38"/>
              </w:rPr>
              <w:t xml:space="preserve">Installation &amp; Configuration</w:t>
            </w:r>
          </w:p>
          <w:p>
            <w:pPr>
              <w:pStyle w:val="Heading1"/>
              <w:jc w:val="center"/>
            </w:pPr>
            <w:r>
              <w:rPr>
                <w:rFonts w:ascii="Arial" w:cs="Arial" w:eastAsia="Arial" w:hAnsi="Arial"/>
                <w:b w:val="false"/>
                <w:bCs w:val="false"/>
                <w:color w:val="D0E8FF"/>
                <w:sz w:val="26"/>
                <w:szCs w:val="26"/>
              </w:rPr>
              <w:t xml:space="preserve">MailCow — Serveur Mail Dockerisé</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9238"/>
      </w:tblGrid>
      <w:tr>
        <w:tc>
          <w:tcPr>
            <w:tcBorders>
              <w:top w:val="none"/>
              <w:left w:val="none"/>
              <w:bottom w:val="none"/>
              <w:right w:val="none"/>
            </w:tcBorders>
            <w:shd w:fill="1E6B3C" w:val="clear"/>
            <w:tcMar>
              <w:top w:type="dxa" w:w="120"/>
              <w:left w:type="dxa" w:w="160"/>
              <w:bottom w:type="dxa" w:w="120"/>
              <w:right w:type="dxa" w:w="160"/>
            </w:tcMar>
            <w:vAlign w:val="center"/>
          </w:tcPr>
          <w:p>
            <w:pPr>
              <w:jc w:val="center"/>
            </w:pPr>
            <w:r>
              <w:rPr>
                <w:rFonts w:ascii="Segoe UI Emoji" w:cs="Segoe UI Emoji" w:eastAsia="Segoe UI Emoji" w:hAnsi="Segoe UI Emoji"/>
                <w:sz w:val="22"/>
                <w:szCs w:val="22"/>
              </w:rPr>
              <w:t xml:space="preserve">🎯</w:t>
            </w:r>
          </w:p>
        </w:tc>
        <w:tc>
          <w:tcPr>
            <w:tcBorders>
              <w:top w:val="none"/>
              <w:left w:val="none"/>
              <w:bottom w:val="none"/>
              <w:right w:val="none"/>
            </w:tcBorders>
            <w:shd w:fill="E2EFDA" w:val="clear"/>
            <w:tcMar>
              <w:top w:type="dxa" w:w="120"/>
              <w:left w:type="dxa" w:w="240"/>
              <w:bottom w:type="dxa" w:w="120"/>
              <w:right w:type="dxa" w:w="240"/>
            </w:tcMar>
          </w:tcPr>
          <w:p>
            <w:r>
              <w:rPr>
                <w:rFonts w:ascii="Arial" w:cs="Arial" w:eastAsia="Arial" w:hAnsi="Arial"/>
                <w:b/>
                <w:bCs/>
                <w:color w:val="1E6B3C"/>
                <w:sz w:val="22"/>
                <w:szCs w:val="22"/>
              </w:rPr>
              <w:t xml:space="preserve">Objectif : </w:t>
            </w:r>
            <w:r>
              <w:rPr>
                <w:rFonts w:ascii="Arial" w:cs="Arial" w:eastAsia="Arial" w:hAnsi="Arial"/>
                <w:color w:val="3D3D3D"/>
                <w:sz w:val="21"/>
                <w:szCs w:val="21"/>
              </w:rPr>
              <w:t xml:space="preserve">Cette procédure décrit l'installation complète de MailCow sur un serveur Debian via Docker, la configuration du domaine mail biovision.com, puis l'intégration avec GLPI pour la réception des alertes par e-mail.</w:t>
            </w:r>
          </w:p>
        </w:tc>
      </w:tr>
    </w:tbl>
    <w:p>
      <w:pPr>
        <w:spacing w:after="240"/>
      </w:pPr>
    </w:p>
    <w:p>
      <w:pPr>
        <w:pStyle w:val="Heading2"/>
      </w:pPr>
      <w:r>
        <w:rPr>
          <w:rFonts w:ascii="Arial" w:cs="Arial" w:eastAsia="Arial" w:hAnsi="Arial"/>
          <w:b/>
          <w:bCs/>
          <w:color w:val="1F4E79"/>
          <w:sz w:val="26"/>
          <w:szCs w:val="26"/>
        </w:rPr>
        <w:t xml:space="preserve">Partie 1 — Installation des prérequis et de Docker</w:t>
      </w:r>
    </w:p>
    <w:p>
      <w:pPr>
        <w:spacing w:before="80" w:after="100"/>
      </w:pPr>
      <w:r>
        <w:rPr>
          <w:rFonts w:ascii="Arial" w:cs="Arial" w:eastAsia="Arial" w:hAnsi="Arial"/>
          <w:i/>
          <w:iCs/>
          <w:color w:val="555555"/>
          <w:sz w:val="21"/>
          <w:szCs w:val="21"/>
        </w:rPr>
        <w:t xml:space="preserve">Avant d'installer MailCow, il est nécessaire de préparer le serveur Debian en installant Docker et ses dépendances. Ces captures montrent les différentes étapes de l'installation du moteur Docker qui servira à faire tourner tous les conteneurs MailCow.</w:t>
      </w:r>
    </w:p>
    <w:p>
      <w:pPr>
        <w:spacing w:after="80"/>
      </w:pPr>
    </w:p>
    <w:p>
      <w:pPr>
        <w:spacing w:before="80" w:after="180"/>
        <w:jc w:val="center"/>
      </w:pPr>
      <w:r>
        <w:drawing>
          <wp:inline distT="0" distB="0" distL="0" distR="0">
            <wp:extent cx="66675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5000625"/>
                    </a:xfrm>
                    <a:prstGeom prst="rect">
                      <a:avLst/>
                    </a:prstGeom>
                  </pic:spPr>
                </pic:pic>
              </a:graphicData>
            </a:graphic>
          </wp:inline>
        </w:drawing>
      </w:r>
    </w:p>
    <w:p>
      <w:pPr>
        <w:spacing w:before="80" w:after="180"/>
        <w:jc w:val="center"/>
      </w:pPr>
      <w:r>
        <w:drawing>
          <wp:inline distT="0" distB="0" distL="0" distR="0">
            <wp:extent cx="59245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24550" cy="4191000"/>
                    </a:xfrm>
                    <a:prstGeom prst="rect">
                      <a:avLst/>
                    </a:prstGeom>
                  </pic:spPr>
                </pic:pic>
              </a:graphicData>
            </a:graphic>
          </wp:inline>
        </w:drawing>
      </w:r>
    </w:p>
    <w:p>
      <w:pPr>
        <w:spacing w:before="80" w:after="180"/>
        <w:jc w:val="center"/>
      </w:pPr>
      <w:r>
        <w:drawing>
          <wp:inline distT="0" distB="0" distL="0" distR="0">
            <wp:extent cx="7343775"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343775" cy="6124575"/>
                    </a:xfrm>
                    <a:prstGeom prst="rect">
                      <a:avLst/>
                    </a:prstGeom>
                  </pic:spPr>
                </pic:pic>
              </a:graphicData>
            </a:graphic>
          </wp:inline>
        </w:drawing>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Borders>
              <w:top w:val="none"/>
              <w:left w:val="none"/>
              <w:bottom w:val="none"/>
              <w:right w:val="none"/>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Borders>
              <w:top w:val="none"/>
              <w:left w:val="none"/>
              <w:bottom w:val="none"/>
              <w:right w:val="none"/>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Télécharger MailCow depuis GitHub</w:t>
            </w:r>
          </w:p>
        </w:tc>
      </w:tr>
    </w:tbl>
    <w:p>
      <w:pPr>
        <w:spacing w:before="80" w:after="100"/>
      </w:pPr>
      <w:r>
        <w:rPr>
          <w:rFonts w:ascii="Arial" w:cs="Arial" w:eastAsia="Arial" w:hAnsi="Arial"/>
          <w:i/>
          <w:iCs/>
          <w:color w:val="555555"/>
          <w:sz w:val="21"/>
          <w:szCs w:val="21"/>
        </w:rPr>
        <w:t xml:space="preserve">Les services de type mail server sont conventionnellement installés dans le répertoire /opt. On clone ici le dépôt officiel MailCow depuis GitHub, ce qui récupère l'intégralité de la configuration Docker nécessaire au déploiement.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9"/>
                <w:szCs w:val="19"/>
              </w:rPr>
              <w:t xml:space="preserve">cd /opt</w:t>
            </w:r>
          </w:p>
        </w:tc>
      </w:tr>
      <w:tr>
        <w:tc>
          <w:tcPr>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9"/>
                <w:szCs w:val="19"/>
              </w:rPr>
              <w:t xml:space="preserve">git clone https://github.com/mailcow/mailcow-dockerized</w:t>
            </w:r>
          </w:p>
        </w:tc>
      </w:tr>
      <w:tr>
        <w:tc>
          <w:tcPr>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9"/>
                <w:szCs w:val="19"/>
              </w:rPr>
              <w:t xml:space="preserve">cd mailcow-dockerized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Borders>
              <w:top w:val="none"/>
              <w:left w:val="none"/>
              <w:bottom w:val="none"/>
              <w:right w:val="none"/>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Borders>
              <w:top w:val="none"/>
              <w:left w:val="none"/>
              <w:bottom w:val="none"/>
              <w:right w:val="none"/>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Générer la configuration initiale</w:t>
            </w:r>
          </w:p>
        </w:tc>
      </w:tr>
    </w:tbl>
    <w:p>
      <w:pPr>
        <w:spacing w:before="80" w:after="100"/>
      </w:pPr>
      <w:r>
        <w:rPr>
          <w:rFonts w:ascii="Arial" w:cs="Arial" w:eastAsia="Arial" w:hAnsi="Arial"/>
          <w:i/>
          <w:iCs/>
          <w:color w:val="555555"/>
          <w:sz w:val="21"/>
          <w:szCs w:val="21"/>
        </w:rPr>
        <w:t xml:space="preserve">Le script generate_config.sh crée automatiquement le fichier mailcow.conf contenant toutes les variables d'environnement (nom de domaine, clés de sécurité, ports, etc.) indispensables au fonctionnement des conteneurs. Renseigner le FQDN du serveur lorsqu'il est demandé (ex : mail.biovision.com).</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9"/>
                <w:szCs w:val="19"/>
              </w:rPr>
              <w:t xml:space="preserve">./generate_config.sh</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Borders>
              <w:top w:val="none"/>
              <w:left w:val="none"/>
              <w:bottom w:val="none"/>
              <w:right w:val="none"/>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Borders>
              <w:top w:val="none"/>
              <w:left w:val="none"/>
              <w:bottom w:val="none"/>
              <w:right w:val="none"/>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Lancer les conteneurs Docker</w:t>
            </w:r>
          </w:p>
        </w:tc>
      </w:tr>
    </w:tbl>
    <w:p>
      <w:pPr>
        <w:spacing w:before="80" w:after="100"/>
      </w:pPr>
      <w:r>
        <w:rPr>
          <w:rFonts w:ascii="Arial" w:cs="Arial" w:eastAsia="Arial" w:hAnsi="Arial"/>
          <w:i/>
          <w:iCs/>
          <w:color w:val="555555"/>
          <w:sz w:val="21"/>
          <w:szCs w:val="21"/>
        </w:rPr>
        <w:t xml:space="preserve">Cette commande télécharge toutes les images Docker nécessaires (Postfix, Dovecot, SOGo, Nginx, Redis, etc.) et démarre la quinzaine de conteneurs qui composent la solution MailCow. L'option -d permet de les lancer en arrière-plan.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9"/>
                <w:szCs w:val="19"/>
              </w:rPr>
              <w:t xml:space="preserve">docker compose up -d</w:t>
            </w:r>
          </w:p>
        </w:tc>
      </w:tr>
    </w:tbl>
    <w:p>
      <w:pPr>
        <w:spacing w:after="80"/>
      </w:pPr>
    </w:p>
    <w:p>
      <w:pPr>
        <w:spacing w:before="80" w:after="180"/>
        <w:jc w:val="center"/>
      </w:pPr>
      <w:r>
        <w:drawing>
          <wp:inline distT="0" distB="0" distL="0" distR="0">
            <wp:extent cx="833437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334375" cy="3267075"/>
                    </a:xfrm>
                    <a:prstGeom prst="rect">
                      <a:avLst/>
                    </a:prstGeom>
                  </pic:spPr>
                </pic:pic>
              </a:graphicData>
            </a:graphic>
          </wp:inline>
        </w:drawing>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Borders>
              <w:top w:val="none"/>
              <w:left w:val="none"/>
              <w:bottom w:val="none"/>
              <w:right w:val="none"/>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Borders>
              <w:top w:val="none"/>
              <w:left w:val="none"/>
              <w:bottom w:val="none"/>
              <w:right w:val="none"/>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Vérifier le statut des conteneurs</w:t>
            </w:r>
          </w:p>
        </w:tc>
      </w:tr>
    </w:tbl>
    <w:p>
      <w:pPr>
        <w:spacing w:before="80" w:after="100"/>
      </w:pPr>
      <w:r>
        <w:rPr>
          <w:rFonts w:ascii="Arial" w:cs="Arial" w:eastAsia="Arial" w:hAnsi="Arial"/>
          <w:i/>
          <w:iCs/>
          <w:color w:val="555555"/>
          <w:sz w:val="21"/>
          <w:szCs w:val="21"/>
        </w:rPr>
        <w:t xml:space="preserve">Attendre environ 30 secondes que tous les services s'initialisent. Cette commande affiche l'état de chaque conteneur : ils doivent tous afficher le statut 'Up' ou 'healthy'. En cas de problème sur un conteneur, utiliser docker compose logs &lt;nom_service&gt; pour diagnostiquer.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9"/>
                <w:szCs w:val="19"/>
              </w:rPr>
              <w:t xml:space="preserve">docker compose ps</w:t>
            </w:r>
          </w:p>
        </w:tc>
      </w:tr>
    </w:tbl>
    <w:p>
      <w:pPr>
        <w:spacing w:after="80"/>
      </w:pPr>
    </w:p>
    <w:p>
      <w:pPr>
        <w:spacing w:before="80" w:after="180"/>
        <w:jc w:val="center"/>
      </w:pPr>
      <w:r>
        <w:drawing>
          <wp:inline distT="0" distB="0" distL="0" distR="0">
            <wp:extent cx="8391525" cy="641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391525" cy="6419850"/>
                    </a:xfrm>
                    <a:prstGeom prst="rect">
                      <a:avLst/>
                    </a:prstGeom>
                  </pic:spPr>
                </pic:pic>
              </a:graphicData>
            </a:graphic>
          </wp:inline>
        </w:drawing>
      </w:r>
    </w:p>
    <w:p>
      <w:pPr>
        <w:spacing w:before="80" w:after="180"/>
        <w:jc w:val="center"/>
      </w:pPr>
      <w:r>
        <w:drawing>
          <wp:inline distT="0" distB="0" distL="0" distR="0">
            <wp:extent cx="30575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57525" cy="3362325"/>
                    </a:xfrm>
                    <a:prstGeom prst="rect">
                      <a:avLst/>
                    </a:prstGeom>
                  </pic:spPr>
                </pic:pic>
              </a:graphicData>
            </a:graphic>
          </wp:inline>
        </w:drawing>
      </w:r>
    </w:p>
    <w:p>
      <w:pPr>
        <w:spacing w:after="160"/>
      </w:pPr>
    </w:p>
    <w:p>
      <w:pPr>
        <w:pStyle w:val="Heading2"/>
      </w:pPr>
      <w:r>
        <w:rPr>
          <w:rFonts w:ascii="Arial" w:cs="Arial" w:eastAsia="Arial" w:hAnsi="Arial"/>
          <w:b/>
          <w:bCs/>
          <w:color w:val="1F4E79"/>
          <w:sz w:val="26"/>
          <w:szCs w:val="26"/>
        </w:rPr>
        <w:t xml:space="preserve">Partie 2 — Configuration DNS sur Windows Server (AD)</w:t>
      </w:r>
    </w:p>
    <w:p>
      <w:pPr>
        <w:spacing w:before="80" w:after="100"/>
      </w:pPr>
      <w:r>
        <w:rPr>
          <w:rFonts w:ascii="Arial" w:cs="Arial" w:eastAsia="Arial" w:hAnsi="Arial"/>
          <w:i/>
          <w:iCs/>
          <w:color w:val="555555"/>
          <w:sz w:val="21"/>
          <w:szCs w:val="21"/>
        </w:rPr>
        <w:t xml:space="preserve">Pour que les postes Windows du réseau puissent résoudre l'adresse mail.biovision.com et ainsi accéder à l'interface MailCow, il est nécessaire de créer un enregistrement de type A dans le gestionnaire DNS de l'Active Directory.</w:t>
      </w:r>
    </w:p>
    <w:p>
      <w:pPr>
        <w:spacing w:after="100"/>
      </w:pPr>
    </w:p>
    <w:p>
      <w:pPr>
        <w:pStyle w:val="ListParagraph"/>
        <w:numPr>
          <w:ilvl w:val="0"/>
          <w:numId w:val="2"/>
        </w:numPr>
      </w:pPr>
      <w:r>
        <w:rPr>
          <w:rFonts w:ascii="Arial" w:cs="Arial" w:eastAsia="Arial" w:hAnsi="Arial"/>
          <w:color w:val="3D3D3D"/>
          <w:sz w:val="21"/>
          <w:szCs w:val="21"/>
        </w:rPr>
        <w:t xml:space="preserve">Ouvrir le </w:t>
      </w:r>
      <w:r>
        <w:rPr>
          <w:rFonts w:ascii="Arial" w:cs="Arial" w:eastAsia="Arial" w:hAnsi="Arial"/>
          <w:b/>
          <w:bCs/>
          <w:color w:val="1F4E79"/>
          <w:sz w:val="21"/>
          <w:szCs w:val="21"/>
        </w:rPr>
        <w:t xml:space="preserve">Gestionnaire DNS</w:t>
      </w:r>
      <w:r>
        <w:rPr>
          <w:rFonts w:ascii="Arial" w:cs="Arial" w:eastAsia="Arial" w:hAnsi="Arial"/>
          <w:color w:val="3D3D3D"/>
          <w:sz w:val="21"/>
          <w:szCs w:val="21"/>
        </w:rPr>
        <w:t xml:space="preserve"> (Menu Démarrer &gt; Outils d'administration &gt; DNS).</w:t>
      </w:r>
    </w:p>
    <w:p>
      <w:pPr>
        <w:pStyle w:val="ListParagraph"/>
        <w:numPr>
          <w:ilvl w:val="0"/>
          <w:numId w:val="2"/>
        </w:numPr>
      </w:pPr>
      <w:r>
        <w:rPr>
          <w:rFonts w:ascii="Arial" w:cs="Arial" w:eastAsia="Arial" w:hAnsi="Arial"/>
          <w:color w:val="3D3D3D"/>
          <w:sz w:val="21"/>
          <w:szCs w:val="21"/>
        </w:rPr>
        <w:t xml:space="preserve">Dérouler l'arborescence : TonServeur &gt; </w:t>
      </w:r>
      <w:r>
        <w:rPr>
          <w:rFonts w:ascii="Arial" w:cs="Arial" w:eastAsia="Arial" w:hAnsi="Arial"/>
          <w:b/>
          <w:bCs/>
          <w:color w:val="1F4E79"/>
          <w:sz w:val="21"/>
          <w:szCs w:val="21"/>
        </w:rPr>
        <w:t xml:space="preserve">Zones de recherche directe</w:t>
      </w:r>
      <w:r>
        <w:rPr>
          <w:rFonts w:ascii="Arial" w:cs="Arial" w:eastAsia="Arial" w:hAnsi="Arial"/>
          <w:color w:val="3D3D3D"/>
          <w:sz w:val="21"/>
          <w:szCs w:val="21"/>
        </w:rPr>
        <w:t xml:space="preserve"> &gt; biovision.com.</w:t>
      </w:r>
    </w:p>
    <w:p>
      <w:pPr>
        <w:pStyle w:val="ListParagraph"/>
        <w:numPr>
          <w:ilvl w:val="0"/>
          <w:numId w:val="2"/>
        </w:numPr>
      </w:pPr>
      <w:r>
        <w:rPr>
          <w:rFonts w:ascii="Arial" w:cs="Arial" w:eastAsia="Arial" w:hAnsi="Arial"/>
          <w:color w:val="3D3D3D"/>
          <w:sz w:val="21"/>
          <w:szCs w:val="21"/>
        </w:rPr>
        <w:t xml:space="preserve">Faire un clic droit dans la partie droite &gt; </w:t>
      </w:r>
      <w:r>
        <w:rPr>
          <w:rFonts w:ascii="Arial" w:cs="Arial" w:eastAsia="Arial" w:hAnsi="Arial"/>
          <w:b/>
          <w:bCs/>
          <w:color w:val="1F4E79"/>
          <w:sz w:val="21"/>
          <w:szCs w:val="21"/>
        </w:rPr>
        <w:t xml:space="preserve">Nouvel hôte (A ou AAAA)...</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Borders>
              <w:top w:val="none"/>
              <w:left w:val="none"/>
              <w:bottom w:val="none"/>
              <w:right w:val="none"/>
            </w:tcBorders>
            <w:shd w:fill="1E6B3C" w:val="clear"/>
            <w:tcMar>
              <w:top w:type="dxa" w:w="80"/>
              <w:left w:type="dxa" w:w="160"/>
              <w:bottom w:type="dxa" w:w="80"/>
              <w:right w:type="dxa" w:w="120"/>
            </w:tcMar>
          </w:tcPr>
          <w:p>
            <w:r>
              <w:rPr>
                <w:rFonts w:ascii="Arial" w:cs="Arial" w:eastAsia="Arial" w:hAnsi="Arial"/>
                <w:b/>
                <w:bCs/>
                <w:color w:val="FFFFFF"/>
                <w:sz w:val="21"/>
                <w:szCs w:val="21"/>
              </w:rPr>
              <w:t xml:space="preserve">Paramètre</w:t>
            </w:r>
          </w:p>
        </w:tc>
        <w:tc>
          <w:tcPr>
            <w:tcBorders>
              <w:top w:val="none"/>
              <w:left w:val="none"/>
              <w:bottom w:val="none"/>
              <w:right w:val="none"/>
            </w:tcBorders>
            <w:shd w:fill="1E6B3C" w:val="clear"/>
            <w:tcMar>
              <w:top w:type="dxa" w:w="80"/>
              <w:left w:type="dxa" w:w="160"/>
              <w:bottom w:type="dxa" w:w="80"/>
              <w:right w:type="dxa" w:w="120"/>
            </w:tcMar>
          </w:tcPr>
          <w:p>
            <w:r>
              <w:rPr>
                <w:rFonts w:ascii="Arial" w:cs="Arial" w:eastAsia="Arial" w:hAnsi="Arial"/>
                <w:b/>
                <w:bCs/>
                <w:color w:val="FFFFFF"/>
                <w:sz w:val="21"/>
                <w:szCs w:val="21"/>
              </w:rPr>
              <w:t xml:space="preserve">Valeur</w:t>
            </w:r>
          </w:p>
        </w:tc>
      </w:tr>
      <w:tr>
        <w:tc>
          <w:tcPr>
            <w:tcBorders>
              <w:top w:val="none"/>
              <w:left w:val="none"/>
              <w:bottom w:val="single" w:color="CCCCCC" w:sz="1"/>
              <w:right w:val="none"/>
            </w:tcBorders>
            <w:shd w:fill="E2EFDA" w:val="clear"/>
            <w:tcMar>
              <w:top w:type="dxa" w:w="80"/>
              <w:left w:type="dxa" w:w="160"/>
              <w:bottom w:type="dxa" w:w="80"/>
              <w:right w:type="dxa" w:w="120"/>
            </w:tcMar>
          </w:tcPr>
          <w:p>
            <w:r>
              <w:rPr>
                <w:rFonts w:ascii="Arial" w:cs="Arial" w:eastAsia="Arial" w:hAnsi="Arial"/>
                <w:b/>
                <w:bCs/>
                <w:color w:val="1E6B3C"/>
                <w:sz w:val="21"/>
                <w:szCs w:val="21"/>
              </w:rPr>
              <w:t xml:space="preserve">Nom</w:t>
            </w:r>
          </w:p>
        </w:tc>
        <w:tc>
          <w:tcPr>
            <w:tcBorders>
              <w:top w:val="none"/>
              <w:left w:val="none"/>
              <w:bottom w:val="single" w:color="CCCCCC" w:sz="1"/>
              <w:right w:val="none"/>
            </w:tcBorders>
            <w:tcMar>
              <w:top w:type="dxa" w:w="80"/>
              <w:left w:type="dxa" w:w="160"/>
              <w:bottom w:type="dxa" w:w="80"/>
              <w:right w:type="dxa" w:w="120"/>
            </w:tcMar>
          </w:tcPr>
          <w:p>
            <w:r>
              <w:rPr>
                <w:rFonts w:ascii="Arial" w:cs="Arial" w:eastAsia="Arial" w:hAnsi="Arial"/>
                <w:color w:val="3D3D3D"/>
                <w:sz w:val="21"/>
                <w:szCs w:val="21"/>
              </w:rPr>
              <w:t xml:space="preserve">mail  (le nom complet sera mail.biovision.com)</w:t>
            </w:r>
          </w:p>
        </w:tc>
      </w:tr>
      <w:tr>
        <w:tc>
          <w:tcPr>
            <w:tcBorders>
              <w:top w:val="none"/>
              <w:left w:val="none"/>
              <w:bottom w:val="none"/>
              <w:right w:val="none"/>
            </w:tcBorders>
            <w:shd w:fill="E2EFDA" w:val="clear"/>
            <w:tcMar>
              <w:top w:type="dxa" w:w="80"/>
              <w:left w:type="dxa" w:w="160"/>
              <w:bottom w:type="dxa" w:w="80"/>
              <w:right w:type="dxa" w:w="120"/>
            </w:tcMar>
          </w:tcPr>
          <w:p>
            <w:r>
              <w:rPr>
                <w:rFonts w:ascii="Arial" w:cs="Arial" w:eastAsia="Arial" w:hAnsi="Arial"/>
                <w:b/>
                <w:bCs/>
                <w:color w:val="1E6B3C"/>
                <w:sz w:val="21"/>
                <w:szCs w:val="21"/>
              </w:rPr>
              <w:t xml:space="preserve">Adresse IP</w:t>
            </w:r>
          </w:p>
        </w:tc>
        <w:tc>
          <w:tcPr>
            <w:tcBorders>
              <w:top w:val="none"/>
              <w:left w:val="none"/>
              <w:bottom w:val="none"/>
              <w:right w:val="none"/>
            </w:tcBorders>
            <w:tcMar>
              <w:top w:type="dxa" w:w="80"/>
              <w:left w:type="dxa" w:w="160"/>
              <w:bottom w:type="dxa" w:w="80"/>
              <w:right w:type="dxa" w:w="120"/>
            </w:tcMar>
          </w:tcPr>
          <w:p>
            <w:r>
              <w:rPr>
                <w:rFonts w:ascii="Arial" w:cs="Arial" w:eastAsia="Arial" w:hAnsi="Arial"/>
                <w:color w:val="3D3D3D"/>
                <w:sz w:val="21"/>
                <w:szCs w:val="21"/>
              </w:rPr>
              <w:t xml:space="preserve">172.20.120.131  (IP du serveur Debian MailCow)</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Borders>
              <w:top w:val="none"/>
              <w:left w:val="none"/>
              <w:bottom w:val="none"/>
              <w:right w:val="none"/>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Borders>
              <w:top w:val="none"/>
              <w:left w:val="none"/>
              <w:bottom w:val="none"/>
              <w:right w:val="none"/>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Accéder à l'interface Web MailCow</w:t>
            </w:r>
          </w:p>
        </w:tc>
      </w:tr>
    </w:tbl>
    <w:p>
      <w:pPr>
        <w:spacing w:before="80" w:after="100"/>
      </w:pPr>
      <w:r>
        <w:rPr>
          <w:rFonts w:ascii="Arial" w:cs="Arial" w:eastAsia="Arial" w:hAnsi="Arial"/>
          <w:i/>
          <w:iCs/>
          <w:color w:val="555555"/>
          <w:sz w:val="21"/>
          <w:szCs w:val="21"/>
        </w:rPr>
        <w:t xml:space="preserve">Une fois le DNS configuré, l'interface d'administration de MailCow est accessible depuis n'importe quel poste du réseau LAN. Se connecter avec les identifiants par défaut et penser à changer le mot de passe immédiatement après la première connexion.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Borders>
              <w:top w:val="none"/>
              <w:left w:val="none"/>
              <w:bottom w:val="none"/>
              <w:right w:val="none"/>
            </w:tcBorders>
            <w:shd w:fill="1F4E79" w:val="clear"/>
            <w:tcMar>
              <w:top w:type="dxa" w:w="100"/>
              <w:left w:type="dxa" w:w="120"/>
              <w:bottom w:type="dxa" w:w="100"/>
              <w:right w:type="dxa" w:w="100"/>
            </w:tcMar>
            <w:vAlign w:val="center"/>
          </w:tcPr>
          <w:p>
            <w:pPr>
              <w:jc w:val="center"/>
            </w:pPr>
            <w:r>
              <w:rPr>
                <w:rFonts w:ascii="Segoe UI Emoji" w:cs="Segoe UI Emoji" w:eastAsia="Segoe UI Emoji" w:hAnsi="Segoe UI Emoji"/>
                <w:color w:val="FFFFFF"/>
                <w:sz w:val="22"/>
                <w:szCs w:val="22"/>
              </w:rPr>
              <w:t xml:space="preserve">ℹ</w:t>
            </w:r>
          </w:p>
        </w:tc>
        <w:tc>
          <w:tcPr>
            <w:tcBorders>
              <w:top w:val="none"/>
              <w:left w:val="none"/>
              <w:bottom w:val="none"/>
              <w:right w:val="none"/>
            </w:tcBorders>
            <w:shd w:fill="D6E4F0" w:val="clear"/>
            <w:tcMar>
              <w:top w:type="dxa" w:w="100"/>
              <w:left w:type="dxa" w:w="200"/>
              <w:bottom w:type="dxa" w:w="100"/>
              <w:right w:type="dxa" w:w="120"/>
            </w:tcMar>
          </w:tcPr>
          <w:p>
            <w:r>
              <w:rPr>
                <w:rFonts w:ascii="Arial" w:cs="Arial" w:eastAsia="Arial" w:hAnsi="Arial"/>
                <w:color w:val="1F4E79"/>
                <w:sz w:val="20"/>
                <w:szCs w:val="20"/>
              </w:rPr>
              <w:t xml:space="preserve">URL d'accès : https://mail.biovision.com  |  Login : admin  |  Mot de passe par défaut : moohoo</w:t>
            </w:r>
          </w:p>
        </w:tc>
      </w:tr>
    </w:tbl>
    <w:p>
      <w:pPr>
        <w:spacing w:after="160"/>
      </w:pPr>
    </w:p>
    <w:p>
      <w:pPr>
        <w:pStyle w:val="Heading2"/>
      </w:pPr>
      <w:r>
        <w:rPr>
          <w:rFonts w:ascii="Arial" w:cs="Arial" w:eastAsia="Arial" w:hAnsi="Arial"/>
          <w:b/>
          <w:bCs/>
          <w:color w:val="1F4E79"/>
          <w:sz w:val="26"/>
          <w:szCs w:val="26"/>
        </w:rPr>
        <w:t xml:space="preserve">Partie 3 — Configuration de MailCow</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Borders>
              <w:top w:val="none"/>
              <w:left w:val="none"/>
              <w:bottom w:val="none"/>
              <w:right w:val="none"/>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Borders>
              <w:top w:val="none"/>
              <w:left w:val="none"/>
              <w:bottom w:val="none"/>
              <w:right w:val="none"/>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Créer le domaine mail</w:t>
            </w:r>
          </w:p>
        </w:tc>
      </w:tr>
    </w:tbl>
    <w:p>
      <w:pPr>
        <w:spacing w:before="80" w:after="100"/>
      </w:pPr>
      <w:r>
        <w:rPr>
          <w:rFonts w:ascii="Arial" w:cs="Arial" w:eastAsia="Arial" w:hAnsi="Arial"/>
          <w:i/>
          <w:iCs/>
          <w:color w:val="555555"/>
          <w:sz w:val="21"/>
          <w:szCs w:val="21"/>
        </w:rPr>
        <w:t xml:space="preserve">La création du domaine est le prérequis indispensable à toute création de boîte aux lettres. Sans cette étape, MailCow ne sait pas pour quel domaine il doit accepter les e-mails. Aller dans Configuration &gt; Courrier &gt; Domaines &gt; Ajouter un domaine.</w:t>
      </w:r>
    </w:p>
    <w:p>
      <w:pPr>
        <w:spacing w:after="80"/>
      </w:pPr>
    </w:p>
    <w:p>
      <w:pPr>
        <w:spacing w:before="80" w:after="180"/>
        <w:jc w:val="center"/>
      </w:pPr>
      <w:r>
        <w:drawing>
          <wp:inline distT="0" distB="0" distL="0" distR="0">
            <wp:extent cx="143256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325600" cy="4248150"/>
                    </a:xfrm>
                    <a:prstGeom prst="rect">
                      <a:avLst/>
                    </a:prstGeom>
                  </pic:spPr>
                </pic:pic>
              </a:graphicData>
            </a:graphic>
          </wp:inline>
        </w:drawing>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Borders>
              <w:top w:val="none"/>
              <w:left w:val="none"/>
              <w:bottom w:val="none"/>
              <w:right w:val="none"/>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7</w:t>
            </w:r>
          </w:p>
        </w:tc>
        <w:tc>
          <w:tcPr>
            <w:tcBorders>
              <w:top w:val="none"/>
              <w:left w:val="none"/>
              <w:bottom w:val="none"/>
              <w:right w:val="none"/>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Créer la première boîte mail (exemple : support GLPI)</w:t>
            </w:r>
          </w:p>
        </w:tc>
      </w:tr>
    </w:tbl>
    <w:p>
      <w:pPr>
        <w:spacing w:before="80" w:after="100"/>
      </w:pPr>
      <w:r>
        <w:rPr>
          <w:rFonts w:ascii="Arial" w:cs="Arial" w:eastAsia="Arial" w:hAnsi="Arial"/>
          <w:i/>
          <w:iCs/>
          <w:color w:val="555555"/>
          <w:sz w:val="21"/>
          <w:szCs w:val="21"/>
        </w:rPr>
        <w:t xml:space="preserve">Cette boîte sera utilisée par GLPI pour envoyer et recevoir les notifications de tickets. Le nom d'utilisateur 'support' donnera l'adresse support@biovision.com. Aller dans l'onglet Boîtes aux lettres &gt; Ajouter une boîte aux lettres.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Borders>
              <w:top w:val="none"/>
              <w:left w:val="none"/>
              <w:bottom w:val="none"/>
              <w:right w:val="none"/>
            </w:tcBorders>
            <w:shd w:fill="1E6B3C" w:val="clear"/>
            <w:tcMar>
              <w:top w:type="dxa" w:w="80"/>
              <w:left w:type="dxa" w:w="160"/>
              <w:bottom w:type="dxa" w:w="80"/>
              <w:right w:type="dxa" w:w="120"/>
            </w:tcMar>
          </w:tcPr>
          <w:p>
            <w:r>
              <w:rPr>
                <w:rFonts w:ascii="Arial" w:cs="Arial" w:eastAsia="Arial" w:hAnsi="Arial"/>
                <w:b/>
                <w:bCs/>
                <w:color w:val="FFFFFF"/>
                <w:sz w:val="21"/>
                <w:szCs w:val="21"/>
              </w:rPr>
              <w:t xml:space="preserve">Paramètre</w:t>
            </w:r>
          </w:p>
        </w:tc>
        <w:tc>
          <w:tcPr>
            <w:tcBorders>
              <w:top w:val="none"/>
              <w:left w:val="none"/>
              <w:bottom w:val="none"/>
              <w:right w:val="none"/>
            </w:tcBorders>
            <w:shd w:fill="1E6B3C" w:val="clear"/>
            <w:tcMar>
              <w:top w:type="dxa" w:w="80"/>
              <w:left w:type="dxa" w:w="160"/>
              <w:bottom w:type="dxa" w:w="80"/>
              <w:right w:type="dxa" w:w="120"/>
            </w:tcMar>
          </w:tcPr>
          <w:p>
            <w:r>
              <w:rPr>
                <w:rFonts w:ascii="Arial" w:cs="Arial" w:eastAsia="Arial" w:hAnsi="Arial"/>
                <w:b/>
                <w:bCs/>
                <w:color w:val="FFFFFF"/>
                <w:sz w:val="21"/>
                <w:szCs w:val="21"/>
              </w:rPr>
              <w:t xml:space="preserve">Valeur</w:t>
            </w:r>
          </w:p>
        </w:tc>
      </w:tr>
      <w:tr>
        <w:tc>
          <w:tcPr>
            <w:tcBorders>
              <w:top w:val="none"/>
              <w:left w:val="none"/>
              <w:bottom w:val="single" w:color="CCCCCC" w:sz="1"/>
              <w:right w:val="none"/>
            </w:tcBorders>
            <w:shd w:fill="E2EFDA" w:val="clear"/>
            <w:tcMar>
              <w:top w:type="dxa" w:w="80"/>
              <w:left w:type="dxa" w:w="160"/>
              <w:bottom w:type="dxa" w:w="80"/>
              <w:right w:type="dxa" w:w="120"/>
            </w:tcMar>
          </w:tcPr>
          <w:p>
            <w:r>
              <w:rPr>
                <w:rFonts w:ascii="Arial" w:cs="Arial" w:eastAsia="Arial" w:hAnsi="Arial"/>
                <w:b/>
                <w:bCs/>
                <w:color w:val="1E6B3C"/>
                <w:sz w:val="21"/>
                <w:szCs w:val="21"/>
              </w:rPr>
              <w:t xml:space="preserve">Nom d'utilisateur</w:t>
            </w:r>
          </w:p>
        </w:tc>
        <w:tc>
          <w:tcPr>
            <w:tcBorders>
              <w:top w:val="none"/>
              <w:left w:val="none"/>
              <w:bottom w:val="single" w:color="CCCCCC" w:sz="1"/>
              <w:right w:val="none"/>
            </w:tcBorders>
            <w:tcMar>
              <w:top w:type="dxa" w:w="80"/>
              <w:left w:type="dxa" w:w="160"/>
              <w:bottom w:type="dxa" w:w="80"/>
              <w:right w:type="dxa" w:w="120"/>
            </w:tcMar>
          </w:tcPr>
          <w:p>
            <w:r>
              <w:rPr>
                <w:rFonts w:ascii="Arial" w:cs="Arial" w:eastAsia="Arial" w:hAnsi="Arial"/>
                <w:color w:val="3D3D3D"/>
                <w:sz w:val="21"/>
                <w:szCs w:val="21"/>
              </w:rPr>
              <w:t xml:space="preserve">support  (adresse : support@biovision.com)</w:t>
            </w:r>
          </w:p>
        </w:tc>
      </w:tr>
      <w:tr>
        <w:tc>
          <w:tcPr>
            <w:tcBorders>
              <w:top w:val="none"/>
              <w:left w:val="none"/>
              <w:bottom w:val="single" w:color="CCCCCC" w:sz="1"/>
              <w:right w:val="none"/>
            </w:tcBorders>
            <w:shd w:fill="E2EFDA" w:val="clear"/>
            <w:tcMar>
              <w:top w:type="dxa" w:w="80"/>
              <w:left w:type="dxa" w:w="160"/>
              <w:bottom w:type="dxa" w:w="80"/>
              <w:right w:type="dxa" w:w="120"/>
            </w:tcMar>
          </w:tcPr>
          <w:p>
            <w:r>
              <w:rPr>
                <w:rFonts w:ascii="Arial" w:cs="Arial" w:eastAsia="Arial" w:hAnsi="Arial"/>
                <w:b/>
                <w:bCs/>
                <w:color w:val="1E6B3C"/>
                <w:sz w:val="21"/>
                <w:szCs w:val="21"/>
              </w:rPr>
              <w:t xml:space="preserve">Nom complet</w:t>
            </w:r>
          </w:p>
        </w:tc>
        <w:tc>
          <w:tcPr>
            <w:tcBorders>
              <w:top w:val="none"/>
              <w:left w:val="none"/>
              <w:bottom w:val="single" w:color="CCCCCC" w:sz="1"/>
              <w:right w:val="none"/>
            </w:tcBorders>
            <w:tcMar>
              <w:top w:type="dxa" w:w="80"/>
              <w:left w:type="dxa" w:w="160"/>
              <w:bottom w:type="dxa" w:w="80"/>
              <w:right w:type="dxa" w:w="120"/>
            </w:tcMar>
          </w:tcPr>
          <w:p>
            <w:r>
              <w:rPr>
                <w:rFonts w:ascii="Arial" w:cs="Arial" w:eastAsia="Arial" w:hAnsi="Arial"/>
                <w:color w:val="3D3D3D"/>
                <w:sz w:val="21"/>
                <w:szCs w:val="21"/>
              </w:rPr>
              <w:t xml:space="preserve">Support BioVision</w:t>
            </w:r>
          </w:p>
        </w:tc>
      </w:tr>
      <w:tr>
        <w:tc>
          <w:tcPr>
            <w:tcBorders>
              <w:top w:val="none"/>
              <w:left w:val="none"/>
              <w:bottom w:val="none"/>
              <w:right w:val="none"/>
            </w:tcBorders>
            <w:shd w:fill="E2EFDA" w:val="clear"/>
            <w:tcMar>
              <w:top w:type="dxa" w:w="80"/>
              <w:left w:type="dxa" w:w="160"/>
              <w:bottom w:type="dxa" w:w="80"/>
              <w:right w:type="dxa" w:w="120"/>
            </w:tcMar>
          </w:tcPr>
          <w:p>
            <w:r>
              <w:rPr>
                <w:rFonts w:ascii="Arial" w:cs="Arial" w:eastAsia="Arial" w:hAnsi="Arial"/>
                <w:b/>
                <w:bCs/>
                <w:color w:val="1E6B3C"/>
                <w:sz w:val="21"/>
                <w:szCs w:val="21"/>
              </w:rPr>
              <w:t xml:space="preserve">Mot de passe</w:t>
            </w:r>
          </w:p>
        </w:tc>
        <w:tc>
          <w:tcPr>
            <w:tcBorders>
              <w:top w:val="none"/>
              <w:left w:val="none"/>
              <w:bottom w:val="none"/>
              <w:right w:val="none"/>
            </w:tcBorders>
            <w:tcMar>
              <w:top w:type="dxa" w:w="80"/>
              <w:left w:type="dxa" w:w="160"/>
              <w:bottom w:type="dxa" w:w="80"/>
              <w:right w:type="dxa" w:w="120"/>
            </w:tcMar>
          </w:tcPr>
          <w:p>
            <w:r>
              <w:rPr>
                <w:rFonts w:ascii="Arial" w:cs="Arial" w:eastAsia="Arial" w:hAnsi="Arial"/>
                <w:color w:val="3D3D3D"/>
                <w:sz w:val="21"/>
                <w:szCs w:val="21"/>
              </w:rPr>
              <w:t xml:space="preserve">Choisir un mot de passe fort (requis pour GLPI)</w:t>
            </w:r>
          </w:p>
        </w:tc>
      </w:tr>
    </w:tbl>
    <w:p>
      <w:pPr>
        <w:spacing w:after="120"/>
      </w:pPr>
    </w:p>
    <w:p>
      <w:pPr>
        <w:spacing w:before="80" w:after="180"/>
        <w:jc w:val="center"/>
      </w:pPr>
      <w:r>
        <w:drawing>
          <wp:inline distT="0" distB="0" distL="0" distR="0">
            <wp:extent cx="75438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543800" cy="5029200"/>
                    </a:xfrm>
                    <a:prstGeom prst="rect">
                      <a:avLst/>
                    </a:prstGeom>
                  </pic:spPr>
                </pic:pic>
              </a:graphicData>
            </a:graphic>
          </wp:inline>
        </w:drawing>
      </w:r>
    </w:p>
    <w:p>
      <w:pPr>
        <w:spacing w:before="80" w:after="180"/>
        <w:jc w:val="center"/>
      </w:pPr>
      <w:r>
        <w:drawing>
          <wp:inline distT="0" distB="0" distL="0" distR="0">
            <wp:extent cx="8401050" cy="704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401050" cy="7048500"/>
                    </a:xfrm>
                    <a:prstGeom prst="rect">
                      <a:avLst/>
                    </a:prstGeom>
                  </pic:spPr>
                </pic:pic>
              </a:graphicData>
            </a:graphic>
          </wp:inline>
        </w:drawing>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Borders>
              <w:top w:val="none"/>
              <w:left w:val="none"/>
              <w:bottom w:val="none"/>
              <w:right w:val="none"/>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8</w:t>
            </w:r>
          </w:p>
        </w:tc>
        <w:tc>
          <w:tcPr>
            <w:tcBorders>
              <w:top w:val="none"/>
              <w:left w:val="none"/>
              <w:bottom w:val="none"/>
              <w:right w:val="none"/>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Ajouter une règle pour que MailCow reçoive les mails de GLPI</w:t>
            </w:r>
          </w:p>
        </w:tc>
      </w:tr>
    </w:tbl>
    <w:p>
      <w:pPr>
        <w:spacing w:before="80" w:after="100"/>
      </w:pPr>
      <w:r>
        <w:rPr>
          <w:rFonts w:ascii="Arial" w:cs="Arial" w:eastAsia="Arial" w:hAnsi="Arial"/>
          <w:i/>
          <w:iCs/>
          <w:color w:val="555555"/>
          <w:sz w:val="21"/>
          <w:szCs w:val="21"/>
        </w:rPr>
        <w:t xml:space="preserve">Cette règle de routage permet de s'assurer que les e-mails envoyés par GLPI (notifications de tickets, alertes système) sont bien acceptés et délivrés dans la boîte correspondante. Sans cette configuration, certains messages pourraient être rejetés comme spam.</w:t>
      </w:r>
    </w:p>
    <w:p>
      <w:pPr>
        <w:spacing w:after="80"/>
      </w:pPr>
    </w:p>
    <w:p>
      <w:pPr>
        <w:spacing w:before="80" w:after="180"/>
        <w:jc w:val="center"/>
      </w:pPr>
      <w:r>
        <w:drawing>
          <wp:inline distT="0" distB="0" distL="0" distR="0">
            <wp:extent cx="8229600" cy="663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229600" cy="6638925"/>
                    </a:xfrm>
                    <a:prstGeom prst="rect">
                      <a:avLst/>
                    </a:prstGeom>
                  </pic:spPr>
                </pic:pic>
              </a:graphicData>
            </a:graphic>
          </wp:inline>
        </w:drawing>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Borders>
              <w:top w:val="none"/>
              <w:left w:val="none"/>
              <w:bottom w:val="none"/>
              <w:right w:val="none"/>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9</w:t>
            </w:r>
          </w:p>
        </w:tc>
        <w:tc>
          <w:tcPr>
            <w:tcBorders>
              <w:top w:val="none"/>
              <w:left w:val="none"/>
              <w:bottom w:val="none"/>
              <w:right w:val="none"/>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Configurer l'adresse mail du support GLPI</w:t>
            </w:r>
          </w:p>
        </w:tc>
      </w:tr>
    </w:tbl>
    <w:p>
      <w:pPr>
        <w:spacing w:before="80" w:after="100"/>
      </w:pPr>
      <w:r>
        <w:rPr>
          <w:rFonts w:ascii="Arial" w:cs="Arial" w:eastAsia="Arial" w:hAnsi="Arial"/>
          <w:i/>
          <w:iCs/>
          <w:color w:val="555555"/>
          <w:sz w:val="21"/>
          <w:szCs w:val="21"/>
        </w:rPr>
        <w:t xml:space="preserve">Dans l'interface GLPI, renseigner l'adresse support@biovision.com ainsi que les paramètres SMTP du serveur MailCow. Cette configuration permet à GLPI d'envoyer des e-mails de notification aux utilisateurs lors de la création ou mise à jour de tickets.</w:t>
      </w:r>
    </w:p>
    <w:p>
      <w:pPr>
        <w:spacing w:after="80"/>
      </w:pPr>
    </w:p>
    <w:p>
      <w:pPr>
        <w:spacing w:before="80" w:after="180"/>
        <w:jc w:val="center"/>
      </w:pPr>
      <w:r>
        <w:drawing>
          <wp:inline distT="0" distB="0" distL="0" distR="0">
            <wp:extent cx="5648325"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48325" cy="7286625"/>
                    </a:xfrm>
                    <a:prstGeom prst="rect">
                      <a:avLst/>
                    </a:prstGeom>
                  </pic:spPr>
                </pic:pic>
              </a:graphicData>
            </a:graphic>
          </wp:inline>
        </w:drawing>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Borders>
              <w:top w:val="none"/>
              <w:left w:val="none"/>
              <w:bottom w:val="none"/>
              <w:right w:val="none"/>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10</w:t>
            </w:r>
          </w:p>
        </w:tc>
        <w:tc>
          <w:tcPr>
            <w:tcBorders>
              <w:top w:val="none"/>
              <w:left w:val="none"/>
              <w:bottom w:val="none"/>
              <w:right w:val="none"/>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Vérification — Résultat du test d'envoi</w:t>
            </w:r>
          </w:p>
        </w:tc>
      </w:tr>
    </w:tbl>
    <w:p>
      <w:pPr>
        <w:spacing w:before="80" w:after="100"/>
      </w:pPr>
      <w:r>
        <w:rPr>
          <w:rFonts w:ascii="Arial" w:cs="Arial" w:eastAsia="Arial" w:hAnsi="Arial"/>
          <w:i/>
          <w:iCs/>
          <w:color w:val="555555"/>
          <w:sz w:val="21"/>
          <w:szCs w:val="21"/>
        </w:rPr>
        <w:t xml:space="preserve">Effectuer un test d'envoi depuis GLPI pour valider la configuration complète. Si l'e-mail est bien reçu dans la boîte support@biovision.com, l'intégration est fonctionnelle. En cas d'échec, vérifier les logs MailCow avec docker compose logs postfix-mailcow.</w:t>
      </w:r>
    </w:p>
    <w:p>
      <w:pPr>
        <w:spacing w:after="80"/>
      </w:pPr>
    </w:p>
    <w:p>
      <w:pPr>
        <w:spacing w:before="80" w:after="180"/>
        <w:jc w:val="center"/>
      </w:pPr>
      <w:r>
        <w:drawing>
          <wp:inline distT="0" distB="0" distL="0" distR="0">
            <wp:extent cx="14630400" cy="659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630400" cy="6591300"/>
                    </a:xfrm>
                    <a:prstGeom prst="rect">
                      <a:avLst/>
                    </a:prstGeom>
                  </pic:spPr>
                </pic:pic>
              </a:graphicData>
            </a:graphic>
          </wp:inline>
        </w:drawing>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pPr>
    <w:r>
      <w:rPr>
        <w:rFonts w:ascii="Arial" w:cs="Arial" w:eastAsia="Arial" w:hAnsi="Arial"/>
        <w:color w:val="777777"/>
        <w:sz w:val="18"/>
        <w:szCs w:val="18"/>
      </w:rPr>
      <w:t xml:space="preserve">Objet : Installation et configuration de MailCow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b/>
        <w:bCs/>
        <w:color w:val="2E75B6"/>
        <w:sz w:val="24"/>
        <w:szCs w:val="24"/>
      </w:rPr>
      <w:t xml:space="preserve">FINAXIOME</w:t>
    </w:r>
    <w:r>
      <w:rPr>
        <w:rFonts w:ascii="Arial" w:cs="Arial" w:eastAsia="Arial" w:hAnsi="Arial"/>
        <w:color w:val="999999"/>
        <w:sz w:val="20"/>
        <w:szCs w:val="20"/>
      </w:rPr>
      <w:t xml:space="preserve">  —  Support Informatique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480" w:hanging="240"/>
      </w:pPr>
      <w:rPr>
        <w:rFonts w:ascii="Arial" w:cs="Arial" w:eastAsia="Arial" w:hAnsi="Arial"/>
        <w:color w:val="3D3D3D"/>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outlineLvl w:val="0"/>
    </w:pPr>
    <w:rPr>
      <w:rFonts w:ascii="Arial" w:cs="Arial" w:eastAsia="Arial" w:hAnsi="Arial"/>
      <w:b/>
      <w:bCs/>
      <w:color w:val="FFFFFF"/>
      <w:sz w:val="40"/>
      <w:szCs w:val="40"/>
    </w:rPr>
  </w:style>
  <w:style w:type="paragraph" w:styleId="Heading2">
    <w:name w:val="Heading 2"/>
    <w:basedOn w:val="Normal"/>
    <w:next w:val="Normal"/>
    <w:qFormat/>
    <w:pPr>
      <w:spacing w:before="200" w:after="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69507cc335b383de3b3226187d39c2512cdb095.png"/><Relationship Id="rId9" Type="http://schemas.openxmlformats.org/officeDocument/2006/relationships/image" Target="media/d2abe325d66b3074065925b70a94ed2af1f99bff.png"/><Relationship Id="rId10" Type="http://schemas.openxmlformats.org/officeDocument/2006/relationships/image" Target="media/5793f68725e71a2b775cb52a334b9667c064e717.png"/><Relationship Id="rId11" Type="http://schemas.openxmlformats.org/officeDocument/2006/relationships/image" Target="media/4a2e5f5156d1bd87d8df87a487912af720e96c00.png"/><Relationship Id="rId12" Type="http://schemas.openxmlformats.org/officeDocument/2006/relationships/image" Target="media/bb3df0972e86e5b79200d1098e82e4bfff3502a0.png"/><Relationship Id="rId13" Type="http://schemas.openxmlformats.org/officeDocument/2006/relationships/image" Target="media/c8dd080aaff785d06eb873f86e3aaf9caca6c9ac.png"/><Relationship Id="rId14" Type="http://schemas.openxmlformats.org/officeDocument/2006/relationships/image" Target="media/46eeea767ece1a961340fdcea683e7751159fab9.png"/><Relationship Id="rId15" Type="http://schemas.openxmlformats.org/officeDocument/2006/relationships/image" Target="media/904bd5c2e537ed82ed498e538914e931177ef29f.png"/><Relationship Id="rId16" Type="http://schemas.openxmlformats.org/officeDocument/2006/relationships/image" Target="media/9e238ece52d7c648f889144ed588e633a14f69d5.png"/><Relationship Id="rId17" Type="http://schemas.openxmlformats.org/officeDocument/2006/relationships/image" Target="media/475a5f3f0baeffa1a360158e989f3ad13d0cc72c.png"/><Relationship Id="rId18" Type="http://schemas.openxmlformats.org/officeDocument/2006/relationships/image" Target="media/bdf7889ab8b01569fffc4eb22f7e5fadae35e5e7.png"/><Relationship Id="rId19" Type="http://schemas.openxmlformats.org/officeDocument/2006/relationships/image" Target="media/60d0bbb49a86ae98e669a5b3220c1721b5a52f49.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2026-03-04T14:56:34.941Z</dcterms:created>
  <dcterms:modified xsi:type="dcterms:W3CDTF">2026-03-04T14:56:34.941Z</dcterms:modified>
</cp:coreProperties>
</file>

<file path=docProps/custom.xml><?xml version="1.0" encoding="utf-8"?>
<Properties xmlns="http://schemas.openxmlformats.org/officeDocument/2006/custom-properties" xmlns:vt="http://schemas.openxmlformats.org/officeDocument/2006/docPropsVTypes"/>
</file>