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61a7c672c7a2507985dd1489bdb63ea1cd640ae"/>
    <w:p>
      <w:pPr>
        <w:pStyle w:val="Heading1"/>
      </w:pPr>
      <w:r>
        <w:t xml:space="preserve">Acme Retail Group Test Dataset — SET 2 (COMPLEX) — ANSWER KEY</w:t>
      </w:r>
    </w:p>
    <w:bookmarkStart w:id="26" w:name="Xd527262d8ebf2f612d73eec91c53dd9bf1e1819"/>
    <w:p>
      <w:pPr>
        <w:pStyle w:val="Heading2"/>
      </w:pPr>
      <w:r>
        <w:t xml:space="preserve">Planted errors, near-miss traps, exact calculations, and controlling authority</w:t>
      </w:r>
    </w:p>
    <w:p>
      <w:pPr>
        <w:pStyle w:val="FirstParagraph"/>
      </w:pPr>
      <w:r>
        <w:rPr>
          <w:b/>
          <w:bCs/>
        </w:rPr>
        <w:t xml:space="preserve">Use this to verify your audit engine against a harder set.</w:t>
      </w:r>
      <w:r>
        <w:t xml:space="preserve"> </w:t>
      </w:r>
      <w:r>
        <w:t xml:space="preserve">It covers</w:t>
      </w:r>
      <w:r>
        <w:t xml:space="preserve"> </w:t>
      </w:r>
      <w:r>
        <w:rPr>
          <w:rStyle w:val="VerbatimChar"/>
        </w:rPr>
        <w:t xml:space="preserve">Acme_Retail_Employee_Payroll_Records_TEST_2.docx</w:t>
      </w:r>
      <w:r>
        <w:t xml:space="preserve"> </w:t>
      </w:r>
      <w:r>
        <w:t xml:space="preserve">(13 employees). This set deliberately includes three kinds of records:</w:t>
      </w:r>
      <w:r>
        <w:t xml:space="preserve"> </w:t>
      </w:r>
      <w:r>
        <w:rPr>
          <w:b/>
          <w:bCs/>
        </w:rPr>
        <w:t xml:space="preserve">(A) real violations</w:t>
      </w:r>
      <w:r>
        <w:t xml:space="preserve">,</w:t>
      </w:r>
      <w:r>
        <w:t xml:space="preserve"> </w:t>
      </w:r>
      <w:r>
        <w:rPr>
          <w:b/>
          <w:bCs/>
        </w:rPr>
        <w:t xml:space="preserve">(B) near-miss traps that look like violations but are lawful — your engine must NOT flag them</w:t>
      </w:r>
      <w:r>
        <w:t xml:space="preserve">, and</w:t>
      </w:r>
      <w:r>
        <w:t xml:space="preserve"> </w:t>
      </w:r>
      <w:r>
        <w:rPr>
          <w:b/>
          <w:bCs/>
        </w:rPr>
        <w:t xml:space="preserve">(C) a fully clean employee</w:t>
      </w:r>
      <w:r>
        <w:t xml:space="preserve">. A good auditor catches every real violation, quantifies it to the cent, and raises zero false positives on the traps.</w:t>
      </w:r>
    </w:p>
    <w:p>
      <w:pPr>
        <w:pStyle w:val="BodyText"/>
      </w:pPr>
      <w:r>
        <w:rPr>
          <w:b/>
          <w:bCs/>
        </w:rPr>
        <w:t xml:space="preserve">Constants (California, 2026 assumptions — re-verify against live rate tables):</w:t>
      </w:r>
    </w:p>
    <w:p>
      <w:pPr>
        <w:pStyle w:val="Compact"/>
        <w:numPr>
          <w:ilvl w:val="0"/>
          <w:numId w:val="1001"/>
        </w:numPr>
      </w:pPr>
      <w:r>
        <w:t xml:space="preserve">State minimum wage $16.90/hr; City of Los Angeles $17.87/hr (apply the higher by worksite) (</w:t>
      </w:r>
      <w:hyperlink r:id="rId20">
        <w:r>
          <w:rPr>
            <w:rStyle w:val="Hyperlink"/>
          </w:rPr>
          <w:t xml:space="preserve">Cal. Lab. Code § 1197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Daily OT 1.5× over 8/day and 40/week; 2× over 12/day; AWS schedules carve out daily OT within the adopted schedule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Meal period required &gt; 5 hrs, beginning by the end of the 5th hour; second meal &gt; 10 hrs (waivable if total ≤ 12 and first meal not waived); premium = 1 hr at the regular rate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), (</w:t>
      </w:r>
      <w:hyperlink r:id="rId23">
        <w:r>
          <w:rPr>
            <w:rStyle w:val="Hyperlink"/>
          </w:rPr>
          <w:t xml:space="preserve">Cal. Lab. Code § 226.7 (West)</w:t>
        </w:r>
      </w:hyperlink>
      <w:r>
        <w:t xml:space="preserve">), (</w:t>
      </w:r>
      <w:hyperlink r:id="rId24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Regular rate includes shift differentials, commissions, and nondiscretionary bonuses (</w:t>
      </w:r>
      <w:hyperlink r:id="rId25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36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2950"/>
        <w:gridCol w:w="1708"/>
        <w:gridCol w:w="1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violation(s)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Sofia 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Nondiscretionary bonus excluded from regular rate (OT understated)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), 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Bell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11th-hour OT unpaid (AWS covers only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Commissioned-exempt</w:t>
            </w:r>
            <w:r>
              <w:t xml:space="preserve">”</w:t>
            </w:r>
            <w:r>
              <w:t xml:space="preserve"> </w:t>
            </w:r>
            <w:r>
              <w:t xml:space="preserve">fails both prongs → OT owed; commissions in regular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), 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), (</w:t>
            </w:r>
            <w:hyperlink r:id="rId25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Piece-rate: rest/recovery + nonproductive time not separately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$209.49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tip credit (MW shortfall) + credit-card fee taken from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Lab. Code § 1197.1 (West)</w:t>
              </w:r>
            </w:hyperlink>
            <w:r>
              <w:t xml:space="preserve">), (</w:t>
            </w:r>
            <w:hyperlink r:id="rId30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City of Los Angeles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0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), (</w:t>
            </w:r>
            <w:hyperlink r:id="rId29">
              <w:r>
                <w:rPr>
                  <w:rStyle w:val="Hyperlink"/>
                </w:rPr>
                <w:t xml:space="preserve">Cal. Lab. Code § 1197.1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Olivia Martin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Salaried non-exempt: no OT (1/40th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), 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 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Computer professional</w:t>
            </w:r>
            <w:r>
              <w:t xml:space="preserve">”</w:t>
            </w:r>
            <w:r>
              <w:t xml:space="preserve"> </w:t>
            </w:r>
            <w:r>
              <w:t xml:space="preserve">exemption fails (hardware/help-desk duties carve-out)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515.5 (West)</w:t>
              </w:r>
            </w:hyperlink>
            <w:r>
              <w:t xml:space="preserve">), 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$504.81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Liu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— clean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Hassan 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first meal (Brinker timing)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Brinker Rest. Corp. v. Superior Ct., 53 Cal. 4th 1004, 273 P.3d 513 (2012)</w:t>
              </w:r>
            </w:hyperlink>
            <w:r>
              <w:t xml:space="preserve">), (</w:t>
            </w:r>
            <w:hyperlink r:id="rId23">
              <w:r>
                <w:rPr>
                  <w:rStyle w:val="Hyperlink"/>
                </w:rPr>
                <w:t xml:space="preserve">Cal. Lab. Code § 226.7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pre-shift work (rounding is neutral — not a violation)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Troester v. Starbucks Corp., 5 Cal. 5th 829, 421 P.3d 1114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Vacation forfeiture (final pay was on time — not a violation)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Cal. Lab. Code § 227.3 (West)</w:t>
              </w:r>
            </w:hyperlink>
            <w:r>
              <w:t xml:space="preserve">), (</w:t>
            </w:r>
            <w:hyperlink r:id="rId35">
              <w:r>
                <w:rPr>
                  <w:rStyle w:val="Hyperlink"/>
                </w:rPr>
                <w:t xml:space="preserve">Suastez v. Plastic Dress-Up Co., 31 Cal. 3d 774, 647 P.2d 122 (1982)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Taylor Brooks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Reporting-time pay shortfall + split-shift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), 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$62.10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Grand total of planted underpayments/premiums: $2,820.50</w:t>
      </w:r>
      <w:r>
        <w:t xml:space="preserve"> </w:t>
      </w:r>
      <w:r>
        <w:t xml:space="preserve">(plus § 226, § 203, PAGA, and minimum-wage liquidated-damages layers — see notes).</w:t>
      </w:r>
    </w:p>
    <w:p>
      <w:r>
        <w:pict>
          <v:rect style="width:0;height:1.5pt" o:hralign="center" o:hrstd="t" o:hr="t"/>
        </w:pict>
      </w:r>
    </w:p>
    <w:bookmarkEnd w:id="36"/>
    <w:bookmarkStart w:id="40" w:name="Xda70d1ce065ea30d300202e4cde30d2a2fb2dec"/>
    <w:p>
      <w:pPr>
        <w:pStyle w:val="Heading2"/>
      </w:pPr>
      <w:r>
        <w:t xml:space="preserve">NEAR-MISS TRAPS — YOUR ENGINE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FLAG THESE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Marcus Bell — the 9th and 10th daily hours.</w:t>
      </w:r>
      <w:r>
        <w:t xml:space="preserve"> </w:t>
      </w:r>
      <w:r>
        <w:t xml:space="preserve">He is on a</w:t>
      </w:r>
      <w:r>
        <w:t xml:space="preserve"> </w:t>
      </w:r>
      <w:r>
        <w:rPr>
          <w:b/>
          <w:bCs/>
        </w:rPr>
        <w:t xml:space="preserve">valid 4/10 alternative workweek schedule</w:t>
      </w:r>
      <w:r>
        <w:t xml:space="preserve"> </w:t>
      </w:r>
      <w:r>
        <w:t xml:space="preserve">(secret-ballot election on file), so hours 9–10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daily overtime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). Only the one</w:t>
      </w:r>
      <w:r>
        <w:t xml:space="preserve"> </w:t>
      </w:r>
      <w:r>
        <w:rPr>
          <w:b/>
          <w:bCs/>
        </w:rPr>
        <w:t xml:space="preserve">11th hour</w:t>
      </w:r>
      <w:r>
        <w:t xml:space="preserve"> </w:t>
      </w:r>
      <w:r>
        <w:t xml:space="preserve">(Wed 06/03) is OT. Flagging the regular AWS 9th/10th hours is a false positive.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Hassan Ali — the second meal.</w:t>
      </w:r>
      <w:r>
        <w:t xml:space="preserve"> </w:t>
      </w:r>
      <w:r>
        <w:t xml:space="preserve">On his 11-hour day the second meal was</w:t>
      </w:r>
      <w:r>
        <w:t xml:space="preserve"> </w:t>
      </w:r>
      <w:r>
        <w:rPr>
          <w:b/>
          <w:bCs/>
        </w:rPr>
        <w:t xml:space="preserve">waived under a valid signed waiver</w:t>
      </w:r>
      <w:r>
        <w:t xml:space="preserve"> </w:t>
      </w:r>
      <w:r>
        <w:t xml:space="preserve">(shift ≤ 12 hrs, first meal not waived) —</w:t>
      </w:r>
      <w:r>
        <w:t xml:space="preserve"> </w:t>
      </w:r>
      <w:r>
        <w:rPr>
          <w:b/>
          <w:bCs/>
        </w:rPr>
        <w:t xml:space="preserve">no second-meal violation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). Only the</w:t>
      </w:r>
      <w:r>
        <w:t xml:space="preserve"> </w:t>
      </w:r>
      <w:r>
        <w:rPr>
          <w:b/>
          <w:bCs/>
        </w:rPr>
        <w:t xml:space="preserve">late first meal</w:t>
      </w:r>
      <w:r>
        <w:t xml:space="preserve"> </w:t>
      </w:r>
      <w:r>
        <w:t xml:space="preserve">is a violation.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Rebecca Stone — time rounding.</w:t>
      </w:r>
      <w:r>
        <w:t xml:space="preserve"> </w:t>
      </w:r>
      <w:r>
        <w:t xml:space="preserve">Her rounding is</w:t>
      </w:r>
      <w:r>
        <w:t xml:space="preserve"> </w:t>
      </w:r>
      <w:r>
        <w:rPr>
          <w:b/>
          <w:bCs/>
        </w:rPr>
        <w:t xml:space="preserve">neutral over the period</w:t>
      </w:r>
      <w:r>
        <w:t xml:space="preserve"> </w:t>
      </w:r>
      <w:r>
        <w:t xml:space="preserve">(nets even), which is lawful (</w:t>
      </w:r>
      <w:hyperlink r:id="rId37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 —</w:t>
      </w:r>
      <w:r>
        <w:t xml:space="preserve"> </w:t>
      </w:r>
      <w:r>
        <w:rPr>
          <w:b/>
          <w:bCs/>
        </w:rPr>
        <w:t xml:space="preserve">do not flag rounding</w:t>
      </w:r>
      <w:r>
        <w:t xml:space="preserve">. The real issue is the</w:t>
      </w:r>
      <w:r>
        <w:t xml:space="preserve"> </w:t>
      </w:r>
      <w:r>
        <w:rPr>
          <w:b/>
          <w:bCs/>
        </w:rPr>
        <w:t xml:space="preserve">12 minutes/day of uncaptured pre-shift work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Victor Cruz — final pay timing.</w:t>
      </w:r>
      <w:r>
        <w:t xml:space="preserve"> </w:t>
      </w:r>
      <w:r>
        <w:t xml:space="preserve">He</w:t>
      </w:r>
      <w:r>
        <w:t xml:space="preserve"> </w:t>
      </w:r>
      <w:r>
        <w:rPr>
          <w:b/>
          <w:bCs/>
        </w:rPr>
        <w:t xml:space="preserve">quit with 72 hours’ notice and was paid on his last day</w:t>
      </w:r>
      <w:r>
        <w:t xml:space="preserve">, which is timely —</w:t>
      </w:r>
      <w:r>
        <w:t xml:space="preserve"> </w:t>
      </w:r>
      <w:r>
        <w:rPr>
          <w:b/>
          <w:bCs/>
        </w:rPr>
        <w:t xml:space="preserve">no § 203 waiting-time violation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Cal. Lab. Code § 202 (West)</w:t>
        </w:r>
      </w:hyperlink>
      <w:r>
        <w:t xml:space="preserve">), (</w:t>
      </w:r>
      <w:hyperlink r:id="rId39">
        <w:r>
          <w:rPr>
            <w:rStyle w:val="Hyperlink"/>
          </w:rPr>
          <w:t xml:space="preserve">Cal. Lab. Code § 203 (West)</w:t>
        </w:r>
      </w:hyperlink>
      <w:r>
        <w:t xml:space="preserve">). The real issue is the</w:t>
      </w:r>
      <w:r>
        <w:t xml:space="preserve"> </w:t>
      </w:r>
      <w:r>
        <w:rPr>
          <w:b/>
          <w:bCs/>
        </w:rPr>
        <w:t xml:space="preserve">forfeited vacation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Cal. Lab. Code § 227.3 (West)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 Liu — everything.</w:t>
      </w:r>
      <w:r>
        <w:t xml:space="preserve"> </w:t>
      </w:r>
      <w:r>
        <w:t xml:space="preserve">Correct daily OT, correctly weighted bonus, compliant meals, complete wage statement, correct City-of-LA rate —</w:t>
      </w:r>
      <w:r>
        <w:t xml:space="preserve"> </w:t>
      </w:r>
      <w:r>
        <w:rPr>
          <w:b/>
          <w:bCs/>
        </w:rPr>
        <w:t xml:space="preserve">flag nothing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54" w:name="detailed-calculations"/>
    <w:p>
      <w:pPr>
        <w:pStyle w:val="Heading2"/>
      </w:pPr>
      <w:r>
        <w:t xml:space="preserve">DETAILED CALCULATIONS</w:t>
      </w:r>
    </w:p>
    <w:bookmarkStart w:id="41" w:name="sofia-reyes-weighted-regular-rate"/>
    <w:p>
      <w:pPr>
        <w:pStyle w:val="Heading3"/>
      </w:pPr>
      <w:r>
        <w:t xml:space="preserve">1 — Sofia Reyes (weighted regular rate)</w:t>
      </w:r>
    </w:p>
    <w:p>
      <w:pPr>
        <w:pStyle w:val="FirstParagraph"/>
      </w:pPr>
      <w:r>
        <w:t xml:space="preserve">Per week: 45 hrs at $24.00 (base $22 + $2 night differential) + $150 nondiscretionary bonus; 5 daily-OT hours.</w:t>
      </w:r>
    </w:p>
    <w:p>
      <w:pPr>
        <w:pStyle w:val="Compact"/>
        <w:numPr>
          <w:ilvl w:val="0"/>
          <w:numId w:val="1003"/>
        </w:numPr>
      </w:pPr>
      <w:r>
        <w:t xml:space="preserve">Regular rate = (45 × $24.00 + $150) ÷ 45 =</w:t>
      </w:r>
      <w:r>
        <w:t xml:space="preserve"> </w:t>
      </w:r>
      <w:r>
        <w:rPr>
          <w:b/>
          <w:bCs/>
        </w:rPr>
        <w:t xml:space="preserve">$27.33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Correct weekly pay = 45 × $24.00 + $150 + (0.5 × $27.33 × 5) = $1,298.33. Employer paid $1,290.00 (OT at 1.5 × $24 only; bonus excluded from rate).</w:t>
      </w:r>
    </w:p>
    <w:p>
      <w:pPr>
        <w:pStyle w:val="Compact"/>
        <w:numPr>
          <w:ilvl w:val="0"/>
          <w:numId w:val="1003"/>
        </w:numPr>
      </w:pPr>
      <w:r>
        <w:t xml:space="preserve">Underpaid =</w:t>
      </w:r>
      <w:r>
        <w:t xml:space="preserve"> </w:t>
      </w:r>
      <w:r>
        <w:rPr>
          <w:b/>
          <w:bCs/>
        </w:rPr>
        <w:t xml:space="preserve">$8.33/week × 2 = $16.67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).</w:t>
      </w:r>
    </w:p>
    <w:bookmarkEnd w:id="41"/>
    <w:bookmarkStart w:id="42" w:name="marcus-bell-aws-11th-hour"/>
    <w:p>
      <w:pPr>
        <w:pStyle w:val="Heading3"/>
      </w:pPr>
      <w:r>
        <w:t xml:space="preserve">2 — Marcus Bell (AWS 11th hour)</w:t>
      </w:r>
    </w:p>
    <w:p>
      <w:pPr>
        <w:pStyle w:val="FirstParagraph"/>
      </w:pPr>
      <w:r>
        <w:t xml:space="preserve">Valid 4/10 AWS → hours 9–10 are straight time. On Wed 06/03 he worked</w:t>
      </w:r>
      <w:r>
        <w:t xml:space="preserve"> </w:t>
      </w:r>
      <w:r>
        <w:rPr>
          <w:b/>
          <w:bCs/>
        </w:rPr>
        <w:t xml:space="preserve">11 hours</w:t>
      </w:r>
      <w:r>
        <w:t xml:space="preserve">; the 11th hour is OT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). Employer paid all straight.</w:t>
      </w:r>
    </w:p>
    <w:p>
      <w:pPr>
        <w:pStyle w:val="Compact"/>
        <w:numPr>
          <w:ilvl w:val="0"/>
          <w:numId w:val="1004"/>
        </w:numPr>
      </w:pPr>
      <w:r>
        <w:t xml:space="preserve">Underpaid = 1 hr × (1.5 − 1.0) × $25.00 =</w:t>
      </w:r>
      <w:r>
        <w:t xml:space="preserve"> </w:t>
      </w:r>
      <w:r>
        <w:rPr>
          <w:b/>
          <w:bCs/>
        </w:rPr>
        <w:t xml:space="preserve">$12.50</w:t>
      </w:r>
      <w:r>
        <w:t xml:space="preserve">.</w:t>
      </w:r>
    </w:p>
    <w:bookmarkEnd w:id="42"/>
    <w:bookmarkStart w:id="43" w:name="priya-patel-commissioned-exempt-fails"/>
    <w:p>
      <w:pPr>
        <w:pStyle w:val="Heading3"/>
      </w:pPr>
      <w:r>
        <w:t xml:space="preserve">3 — Priya Patel (commissioned-exempt fails)</w:t>
      </w:r>
    </w:p>
    <w:p>
      <w:pPr>
        <w:pStyle w:val="FirstParagraph"/>
      </w:pPr>
      <w:r>
        <w:t xml:space="preserve">The commissioned-employee OT exemption requires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(a) earnings &gt; 1.5× minimum wage ($25.35/hr)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(b) more than half of pay from commissions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Earnings = $2,220 ÷ 90 hrs =</w:t>
      </w:r>
      <w:r>
        <w:t xml:space="preserve"> </w:t>
      </w:r>
      <w:r>
        <w:rPr>
          <w:b/>
          <w:bCs/>
        </w:rPr>
        <w:t xml:space="preserve">$24.67/hr → below $25.35</w:t>
      </w:r>
      <w:r>
        <w:t xml:space="preserve"> </w:t>
      </w:r>
      <w:r>
        <w:t xml:space="preserve">(fails prong a). Commissions = $600 ÷ $2,220 =</w:t>
      </w:r>
      <w:r>
        <w:t xml:space="preserve"> </w:t>
      </w:r>
      <w:r>
        <w:rPr>
          <w:b/>
          <w:bCs/>
        </w:rPr>
        <w:t xml:space="preserve">27% → below 50%</w:t>
      </w:r>
      <w:r>
        <w:t xml:space="preserve"> </w:t>
      </w:r>
      <w:r>
        <w:t xml:space="preserve">(fails prong b). Exemption does not apply → OT owed.</w:t>
      </w:r>
    </w:p>
    <w:p>
      <w:pPr>
        <w:pStyle w:val="Compact"/>
        <w:numPr>
          <w:ilvl w:val="0"/>
          <w:numId w:val="1005"/>
        </w:numPr>
      </w:pPr>
      <w:r>
        <w:t xml:space="preserve">Regular rate (commissions included) = $2,220 ÷ 90 = $24.67 (</w:t>
      </w:r>
      <w:hyperlink r:id="rId25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). OT = 10 hrs × 0.5 × $24.67 =</w:t>
      </w:r>
      <w:r>
        <w:t xml:space="preserve"> </w:t>
      </w:r>
      <w:r>
        <w:rPr>
          <w:b/>
          <w:bCs/>
        </w:rPr>
        <w:t xml:space="preserve">$123.33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(employer paid zero OT).</w:t>
      </w:r>
    </w:p>
    <w:bookmarkEnd w:id="43"/>
    <w:bookmarkStart w:id="44" w:name="daniel-okafor-piece-rate-226.2"/>
    <w:p>
      <w:pPr>
        <w:pStyle w:val="Heading3"/>
      </w:pPr>
      <w:r>
        <w:t xml:space="preserve">4 — Daniel Okafor (piece-rate § 226.2)</w:t>
      </w:r>
    </w:p>
    <w:p>
      <w:pPr>
        <w:pStyle w:val="FirstParagraph"/>
      </w:pPr>
      <w:r>
        <w:t xml:space="preserve">Rest/recovery and nonproductive time must be paid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from piece earnings (</w:t>
      </w:r>
      <w:hyperlink r:id="rId28">
        <w:r>
          <w:rPr>
            <w:rStyle w:val="Hyperlink"/>
          </w:rPr>
          <w:t xml:space="preserve">Cal. Lab. Code § 226.2 (West)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Rest/recovery average rate = $1,750 ÷ (80 − 6) =</w:t>
      </w:r>
      <w:r>
        <w:t xml:space="preserve"> </w:t>
      </w:r>
      <w:r>
        <w:rPr>
          <w:b/>
          <w:bCs/>
        </w:rPr>
        <w:t xml:space="preserve">$23.65/hr</w:t>
      </w:r>
      <w:r>
        <w:t xml:space="preserve">; rest pay owed = 6 × $23.65 =</w:t>
      </w:r>
      <w:r>
        <w:t xml:space="preserve"> </w:t>
      </w:r>
      <w:r>
        <w:rPr>
          <w:b/>
          <w:bCs/>
        </w:rPr>
        <w:t xml:space="preserve">$141.89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Nonproductive time = 4 hrs × $16.90 (applicable MW) =</w:t>
      </w:r>
      <w:r>
        <w:t xml:space="preserve"> </w:t>
      </w:r>
      <w:r>
        <w:rPr>
          <w:b/>
          <w:bCs/>
        </w:rPr>
        <w:t xml:space="preserve">$67.60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Total owed =</w:t>
      </w:r>
      <w:r>
        <w:t xml:space="preserve"> </w:t>
      </w:r>
      <w:r>
        <w:rPr>
          <w:b/>
          <w:bCs/>
        </w:rPr>
        <w:t xml:space="preserve">$209.49</w:t>
      </w:r>
      <w:r>
        <w:t xml:space="preserve"> </w:t>
      </w:r>
      <w:r>
        <w:t xml:space="preserve">(piece average $21.88/hr clears minimum wage, so no separate MW shortfall).</w:t>
      </w:r>
    </w:p>
    <w:bookmarkEnd w:id="44"/>
    <w:bookmarkStart w:id="45" w:name="emily-zhang-tips"/>
    <w:p>
      <w:pPr>
        <w:pStyle w:val="Heading3"/>
      </w:pPr>
      <w:r>
        <w:t xml:space="preserve">5 — Emily Zhang (tips)</w:t>
      </w:r>
    </w:p>
    <w:p>
      <w:pPr>
        <w:pStyle w:val="FirstParagraph"/>
      </w:pPr>
      <w:r>
        <w:t xml:space="preserve">California prohibits a</w:t>
      </w:r>
      <w:r>
        <w:t xml:space="preserve"> </w:t>
      </w:r>
      <w:r>
        <w:rPr>
          <w:b/>
          <w:bCs/>
        </w:rPr>
        <w:t xml:space="preserve">tip credit</w:t>
      </w:r>
      <w:r>
        <w:t xml:space="preserve"> </w:t>
      </w:r>
      <w:r>
        <w:t xml:space="preserve">— the employer must pay the full minimum wage in cash (</w:t>
      </w:r>
      <w:hyperlink r:id="rId29">
        <w:r>
          <w:rPr>
            <w:rStyle w:val="Hyperlink"/>
          </w:rPr>
          <w:t xml:space="preserve">Cal. Lab. Code § 1197.1 (West)</w:t>
        </w:r>
      </w:hyperlink>
      <w:r>
        <w:t xml:space="preserve">); and no deductions from tips (</w:t>
      </w:r>
      <w:hyperlink r:id="rId30">
        <w:r>
          <w:rPr>
            <w:rStyle w:val="Hyperlink"/>
          </w:rPr>
          <w:t xml:space="preserve">Cal. Lab. Code § 351 (West)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MW shortfall = ($16.90 − $14.00) × 80 =</w:t>
      </w:r>
      <w:r>
        <w:t xml:space="preserve"> </w:t>
      </w:r>
      <w:r>
        <w:rPr>
          <w:b/>
          <w:bCs/>
        </w:rPr>
        <w:t xml:space="preserve">$232.00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Credit-card fee unlawfully taken from tips = 3% × $400 =</w:t>
      </w:r>
      <w:r>
        <w:t xml:space="preserve"> </w:t>
      </w:r>
      <w:r>
        <w:rPr>
          <w:b/>
          <w:bCs/>
        </w:rPr>
        <w:t xml:space="preserve">$12.00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Cal. Lab. Code § 351 (West)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Total =</w:t>
      </w:r>
      <w:r>
        <w:t xml:space="preserve"> </w:t>
      </w:r>
      <w:r>
        <w:rPr>
          <w:b/>
          <w:bCs/>
        </w:rPr>
        <w:t xml:space="preserve">$244.00</w:t>
      </w:r>
      <w:r>
        <w:t xml:space="preserve">.</w:t>
      </w:r>
    </w:p>
    <w:bookmarkEnd w:id="45"/>
    <w:bookmarkStart w:id="46" w:name="james-wright-local-minimum-wage"/>
    <w:p>
      <w:pPr>
        <w:pStyle w:val="Heading3"/>
      </w:pPr>
      <w:r>
        <w:t xml:space="preserve">6 — James Wright (local minimum wage)</w:t>
      </w:r>
    </w:p>
    <w:p>
      <w:pPr>
        <w:pStyle w:val="FirstParagraph"/>
      </w:pPr>
      <w:r>
        <w:t xml:space="preserve">Worksite is in the City of Los Angeles ($17.87), which governs over the lower state rate (</w:t>
      </w:r>
      <w:hyperlink r:id="rId20">
        <w:r>
          <w:rPr>
            <w:rStyle w:val="Hyperlink"/>
          </w:rPr>
          <w:t xml:space="preserve">Cal. Lab. Code § 1197 (West)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Underpaid = ($17.87 − $17.00) × 80 =</w:t>
      </w:r>
      <w:r>
        <w:t xml:space="preserve"> </w:t>
      </w:r>
      <w:r>
        <w:rPr>
          <w:b/>
          <w:bCs/>
        </w:rPr>
        <w:t xml:space="preserve">$69.60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Cal. Lab. Code § 1197.1 (West)</w:t>
        </w:r>
      </w:hyperlink>
      <w:r>
        <w:t xml:space="preserve">).</w:t>
      </w:r>
    </w:p>
    <w:bookmarkEnd w:id="46"/>
    <w:bookmarkStart w:id="47" w:name="olivia-martin-salaried-non-exempt"/>
    <w:p>
      <w:pPr>
        <w:pStyle w:val="Heading3"/>
      </w:pPr>
      <w:r>
        <w:t xml:space="preserve">7 — Olivia Martin (salaried non-exempt)</w:t>
      </w:r>
    </w:p>
    <w:p>
      <w:pPr>
        <w:pStyle w:val="FirstParagraph"/>
      </w:pPr>
      <w:r>
        <w:t xml:space="preserve">A fixed salary for a non-exempt employee compensates only non-overtime hours; the regular rate is</w:t>
      </w:r>
      <w:r>
        <w:t xml:space="preserve"> </w:t>
      </w:r>
      <w:r>
        <w:rPr>
          <w:b/>
          <w:bCs/>
        </w:rPr>
        <w:t xml:space="preserve">1/40th of the weekly salary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Cal. Lab. Code § 515 (West)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Regular rate = $1,000 ÷ 40 =</w:t>
      </w:r>
      <w:r>
        <w:t xml:space="preserve"> </w:t>
      </w:r>
      <w:r>
        <w:rPr>
          <w:b/>
          <w:bCs/>
        </w:rPr>
        <w:t xml:space="preserve">$25.00/hr</w:t>
      </w:r>
      <w:r>
        <w:t xml:space="preserve">. OT = 8 hrs/week × 1.5 × $25.00 = $300/week × 2 =</w:t>
      </w:r>
      <w:r>
        <w:t xml:space="preserve"> </w:t>
      </w:r>
      <w:r>
        <w:rPr>
          <w:b/>
          <w:bCs/>
        </w:rPr>
        <w:t xml:space="preserve">$600.00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).</w:t>
      </w:r>
    </w:p>
    <w:bookmarkEnd w:id="47"/>
    <w:bookmarkStart w:id="48" w:name="Xeaafe4e557376b4dcb1e1258003b6a039aff9fb"/>
    <w:p>
      <w:pPr>
        <w:pStyle w:val="Heading3"/>
      </w:pPr>
      <w:r>
        <w:t xml:space="preserve">8 — Noah Kim (computer-professional exemption fails)</w:t>
      </w:r>
    </w:p>
    <w:p>
      <w:pPr>
        <w:pStyle w:val="FirstParagraph"/>
      </w:pPr>
      <w:r>
        <w:t xml:space="preserve">The computer-software exemption excludes employees engaged in</w:t>
      </w:r>
      <w:r>
        <w:t xml:space="preserve"> </w:t>
      </w:r>
      <w:r>
        <w:rPr>
          <w:b/>
          <w:bCs/>
        </w:rPr>
        <w:t xml:space="preserve">operating, manufacturing, repairing, or maintaining computer hardware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Cal. Lab. Code § 515.5 (West)</w:t>
        </w:r>
      </w:hyperlink>
      <w:r>
        <w:t xml:space="preserve">); Noah’s help-desk/hardware-repair duties fall in the carve-out → non-exempt regardless of pay.</w:t>
      </w:r>
    </w:p>
    <w:p>
      <w:pPr>
        <w:pStyle w:val="Compact"/>
        <w:numPr>
          <w:ilvl w:val="0"/>
          <w:numId w:val="1010"/>
        </w:numPr>
      </w:pPr>
      <w:r>
        <w:t xml:space="preserve">Weekly salary = $70,000 ÷ 52 = $1,346.15; regular rate = ÷ 40 =</w:t>
      </w:r>
      <w:r>
        <w:t xml:space="preserve"> </w:t>
      </w:r>
      <w:r>
        <w:rPr>
          <w:b/>
          <w:bCs/>
        </w:rPr>
        <w:t xml:space="preserve">$33.65/hr</w:t>
      </w:r>
      <w:r>
        <w:t xml:space="preserve">. OT = 10 hrs × 1.5 × $33.65 =</w:t>
      </w:r>
      <w:r>
        <w:t xml:space="preserve"> </w:t>
      </w:r>
      <w:r>
        <w:rPr>
          <w:b/>
          <w:bCs/>
        </w:rPr>
        <w:t xml:space="preserve">$504.81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).</w:t>
      </w:r>
    </w:p>
    <w:bookmarkEnd w:id="48"/>
    <w:bookmarkStart w:id="49" w:name="grace-liu-clean-control"/>
    <w:p>
      <w:pPr>
        <w:pStyle w:val="Heading3"/>
      </w:pPr>
      <w:r>
        <w:t xml:space="preserve">9 — Grace Liu (CLEAN CONTROL)</w:t>
      </w:r>
    </w:p>
    <w:p>
      <w:pPr>
        <w:pStyle w:val="FirstParagraph"/>
      </w:pPr>
      <w:r>
        <w:t xml:space="preserve">90 hrs (nine 9-hr days), 10 daily-OT hrs; $100 bonus correctly folded (regular rate $19.61; OT at $29.42); compliant meals; complete wage statement; correct City-of-LA rate.</w:t>
      </w:r>
      <w:r>
        <w:t xml:space="preserve"> </w:t>
      </w:r>
      <w:r>
        <w:rPr>
          <w:b/>
          <w:bCs/>
        </w:rPr>
        <w:t xml:space="preserve">No violations — flag nothing.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),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bookmarkEnd w:id="49"/>
    <w:bookmarkStart w:id="50" w:name="hassan-ali-late-first-meal"/>
    <w:p>
      <w:pPr>
        <w:pStyle w:val="Heading3"/>
      </w:pPr>
      <w:r>
        <w:t xml:space="preserve">10 — Hassan Ali (late first meal)</w:t>
      </w:r>
    </w:p>
    <w:p>
      <w:pPr>
        <w:pStyle w:val="FirstParagraph"/>
      </w:pPr>
      <w:r>
        <w:t xml:space="preserve">Shift started 7:00 AM; first meal must begin by the end of the 5th hour (by 12:00 PM) (</w:t>
      </w:r>
      <w:hyperlink r:id="rId24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). On 06/01 it began at</w:t>
      </w:r>
      <w:r>
        <w:t xml:space="preserve"> </w:t>
      </w:r>
      <w:r>
        <w:rPr>
          <w:b/>
          <w:bCs/>
        </w:rPr>
        <w:t xml:space="preserve">1:30 PM → late</w:t>
      </w:r>
      <w:r>
        <w:t xml:space="preserve"> </w:t>
      </w:r>
      <w:r>
        <w:t xml:space="preserve">→ 1 premium = 1 × $20.00 =</w:t>
      </w:r>
      <w:r>
        <w:t xml:space="preserve"> </w:t>
      </w:r>
      <w:r>
        <w:rPr>
          <w:b/>
          <w:bCs/>
        </w:rPr>
        <w:t xml:space="preserve">$20.00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Cal. Lab. Code § 226.7 (West)</w:t>
        </w:r>
      </w:hyperlink>
      <w:r>
        <w:t xml:space="preserve">). The second meal was validly waived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(not a violation).</w:t>
      </w:r>
    </w:p>
    <w:bookmarkEnd w:id="50"/>
    <w:bookmarkStart w:id="51" w:name="rebecca-stone-off-the-clock"/>
    <w:p>
      <w:pPr>
        <w:pStyle w:val="Heading3"/>
      </w:pPr>
      <w:r>
        <w:t xml:space="preserve">11 — Rebecca Stone (off-the-clock)</w:t>
      </w:r>
    </w:p>
    <w:p>
      <w:pPr>
        <w:pStyle w:val="FirstParagraph"/>
      </w:pPr>
      <w:r>
        <w:t xml:space="preserve">Rounding is neutral (lawful — do not flag) (</w:t>
      </w:r>
      <w:hyperlink r:id="rId37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). Badge log shows</w:t>
      </w:r>
      <w:r>
        <w:t xml:space="preserve"> </w:t>
      </w:r>
      <w:r>
        <w:rPr>
          <w:b/>
          <w:bCs/>
        </w:rPr>
        <w:t xml:space="preserve">12 minutes/day</w:t>
      </w:r>
      <w:r>
        <w:t xml:space="preserve"> </w:t>
      </w:r>
      <w:r>
        <w:t xml:space="preserve">of pre-shift setup not captured; California does not allow uncompensated regularly-recurring off-the-clock work (</w:t>
      </w:r>
      <w:hyperlink r:id="rId33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12 min × 10 days = 120 min =</w:t>
      </w:r>
      <w:r>
        <w:t xml:space="preserve"> </w:t>
      </w:r>
      <w:r>
        <w:rPr>
          <w:b/>
          <w:bCs/>
        </w:rPr>
        <w:t xml:space="preserve">2.0 hrs</w:t>
      </w:r>
      <w:r>
        <w:t xml:space="preserve"> </w:t>
      </w:r>
      <w:r>
        <w:t xml:space="preserve">× $19.00 =</w:t>
      </w:r>
      <w:r>
        <w:t xml:space="preserve"> </w:t>
      </w:r>
      <w:r>
        <w:rPr>
          <w:b/>
          <w:bCs/>
        </w:rPr>
        <w:t xml:space="preserve">$38.00</w:t>
      </w:r>
      <w:r>
        <w:t xml:space="preserve"> </w:t>
      </w:r>
      <w:r>
        <w:t xml:space="preserve">(recorded days are 7.5 hrs, so the time is straight, not OT).</w:t>
      </w:r>
    </w:p>
    <w:bookmarkEnd w:id="51"/>
    <w:bookmarkStart w:id="52" w:name="victor-cruz-vacation-forfeiture"/>
    <w:p>
      <w:pPr>
        <w:pStyle w:val="Heading3"/>
      </w:pPr>
      <w:r>
        <w:t xml:space="preserve">12 — Victor Cruz (vacation forfeiture)</w:t>
      </w:r>
    </w:p>
    <w:p>
      <w:pPr>
        <w:pStyle w:val="FirstParagraph"/>
      </w:pPr>
      <w:r>
        <w:t xml:space="preserve">He quit with 72-hour notice and was paid on his last day →</w:t>
      </w:r>
      <w:r>
        <w:t xml:space="preserve"> </w:t>
      </w:r>
      <w:r>
        <w:rPr>
          <w:b/>
          <w:bCs/>
        </w:rPr>
        <w:t xml:space="preserve">timely final pay, no § 203 penalty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Cal. Lab. Code § 202 (West)</w:t>
        </w:r>
      </w:hyperlink>
      <w:r>
        <w:t xml:space="preserve">), (</w:t>
      </w:r>
      <w:hyperlink r:id="rId39">
        <w:r>
          <w:rPr>
            <w:rStyle w:val="Hyperlink"/>
          </w:rPr>
          <w:t xml:space="preserve">Cal. Lab. Code § 203 (West)</w:t>
        </w:r>
      </w:hyperlink>
      <w:r>
        <w:t xml:space="preserve">). But vested vacation cannot be forfeited (</w:t>
      </w:r>
      <w:hyperlink r:id="rId34">
        <w:r>
          <w:rPr>
            <w:rStyle w:val="Hyperlink"/>
          </w:rPr>
          <w:t xml:space="preserve">Cal. Lab. Code § 227.3 (West)</w:t>
        </w:r>
      </w:hyperlink>
      <w:r>
        <w:t xml:space="preserve">), (</w:t>
      </w:r>
      <w:hyperlink r:id="rId35">
        <w:r>
          <w:rPr>
            <w:rStyle w:val="Hyperlink"/>
          </w:rPr>
          <w:t xml:space="preserve">Suastez v. Plastic Dress-Up Co., 31 Cal. 3d 774, 647 P.2d 122 (1982)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Vacation owed = 40 hrs × $23.00 =</w:t>
      </w:r>
      <w:r>
        <w:t xml:space="preserve"> </w:t>
      </w:r>
      <w:r>
        <w:rPr>
          <w:b/>
          <w:bCs/>
        </w:rPr>
        <w:t xml:space="preserve">$920.00</w:t>
      </w:r>
      <w:r>
        <w:t xml:space="preserve">.</w:t>
      </w:r>
    </w:p>
    <w:bookmarkEnd w:id="52"/>
    <w:bookmarkStart w:id="53" w:name="taylor-brooks-reporting-time-split-shift"/>
    <w:p>
      <w:pPr>
        <w:pStyle w:val="Heading3"/>
      </w:pPr>
      <w:r>
        <w:t xml:space="preserve">13 — Taylor Brooks (reporting-time + split shift)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Reporting-time pay</w:t>
      </w:r>
      <w:r>
        <w:t xml:space="preserve"> </w:t>
      </w:r>
      <w:r>
        <w:t xml:space="preserve">(Tue 06/02): scheduled 8 hrs, sent home after 1 hr → owed half the scheduled day, min 2 / max 4 →</w:t>
      </w:r>
      <w:r>
        <w:t xml:space="preserve"> </w:t>
      </w:r>
      <w:r>
        <w:rPr>
          <w:b/>
          <w:bCs/>
        </w:rPr>
        <w:t xml:space="preserve">4 hrs</w:t>
      </w:r>
      <w:r>
        <w:t xml:space="preserve">; paid 1 → owed 3 × $18.00 =</w:t>
      </w:r>
      <w:r>
        <w:t xml:space="preserve"> </w:t>
      </w:r>
      <w:r>
        <w:rPr>
          <w:b/>
          <w:bCs/>
        </w:rPr>
        <w:t xml:space="preserve">$54.00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Split-shift premium</w:t>
      </w:r>
      <w:r>
        <w:t xml:space="preserve"> </w:t>
      </w:r>
      <w:r>
        <w:t xml:space="preserve">(Thu 06/04): one hour at minimum wage, less the amount daily pay already exceeds minimum wage. Daily pay $144 − (8 × $16.90 = $135.20) = $8.80 excess; premium = $16.90 − $8.80 =</w:t>
      </w:r>
      <w:r>
        <w:t xml:space="preserve"> </w:t>
      </w:r>
      <w:r>
        <w:rPr>
          <w:b/>
          <w:bCs/>
        </w:rPr>
        <w:t xml:space="preserve">$8.10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Total =</w:t>
      </w:r>
      <w:r>
        <w:t xml:space="preserve"> </w:t>
      </w:r>
      <w:r>
        <w:rPr>
          <w:b/>
          <w:bCs/>
        </w:rPr>
        <w:t xml:space="preserve">$62.10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babdb9e5051d19ba7de0d44ac853d0a7297bc15"/>
    <w:p>
      <w:pPr>
        <w:pStyle w:val="Heading2"/>
      </w:pPr>
      <w:r>
        <w:t xml:space="preserve">PENALTY LAYERS TO ALSO SURFACE (beyond the wage math)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§ 226 wage-statement penalties</w:t>
      </w:r>
      <w:r>
        <w:t xml:space="preserve"> </w:t>
      </w:r>
      <w:r>
        <w:t xml:space="preserve">(e.g., Priya, Daniel, Emily, Olivia, Noah — rates/hours/bonus/commissions not properly itemized): greater of actual damages or $50/$100 per period, cap $4,000 (</w:t>
      </w:r>
      <w:hyperlink r:id="rId55">
        <w:r>
          <w:rPr>
            <w:rStyle w:val="Hyperlink"/>
          </w:rPr>
          <w:t xml:space="preserve">Cal. Lab. Code § 226 (West)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Minimum-wage liquidated damages</w:t>
      </w:r>
      <w:r>
        <w:t xml:space="preserve"> </w:t>
      </w:r>
      <w:r>
        <w:t xml:space="preserve">equal to the unpaid minimum wages for Emily and James (</w:t>
      </w:r>
      <w:hyperlink r:id="rId56">
        <w:r>
          <w:rPr>
            <w:rStyle w:val="Hyperlink"/>
          </w:rPr>
          <w:t xml:space="preserve">Cal. Lab. Code § 1194.2 (West)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PAGA civil penalties</w:t>
      </w:r>
      <w:r>
        <w:t xml:space="preserve"> </w:t>
      </w:r>
      <w:r>
        <w:t xml:space="preserve">per aggrieved employee per pay period, subject to the 2024-reform caps and 65/35 allocation (</w:t>
      </w:r>
      <w:hyperlink r:id="rId57">
        <w:r>
          <w:rPr>
            <w:rStyle w:val="Hyperlink"/>
          </w:rPr>
          <w:t xml:space="preserve">Cal. Lab. Code § 2699 (West)</w:t>
        </w:r>
      </w:hyperlink>
      <w:r>
        <w:t xml:space="preserve">).</w:t>
      </w:r>
    </w:p>
    <w:bookmarkEnd w:id="58"/>
    <w:bookmarkStart w:id="59" w:name="what-a-correct-run-looks-like"/>
    <w:p>
      <w:pPr>
        <w:pStyle w:val="Heading2"/>
      </w:pPr>
      <w:r>
        <w:t xml:space="preserve">WHAT A CORRECT RUN LOOKS LIKE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12 employees flagged; 1 clean (Grace).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Zero false positives</w:t>
      </w:r>
      <w:r>
        <w:t xml:space="preserve"> </w:t>
      </w:r>
      <w:r>
        <w:t xml:space="preserve">on the five near-miss traps (Marcus’s AWS hours, Hassan’s waived second meal, Rebecca’s neutral rounding, Victor’s on-time final pay, Grace overall).</w:t>
      </w:r>
    </w:p>
    <w:p>
      <w:pPr>
        <w:pStyle w:val="Compact"/>
        <w:numPr>
          <w:ilvl w:val="0"/>
          <w:numId w:val="1015"/>
        </w:numPr>
      </w:pPr>
      <w:r>
        <w:t xml:space="preserve">Grand total planted underpayment:</w:t>
      </w:r>
      <w:r>
        <w:t xml:space="preserve"> </w:t>
      </w:r>
      <w:r>
        <w:rPr>
          <w:b/>
          <w:bCs/>
        </w:rPr>
        <w:t xml:space="preserve">$2,820.50</w:t>
      </w:r>
      <w:r>
        <w:t xml:space="preserve">, plus the penalty layers above.</w:t>
      </w:r>
    </w:p>
    <w:p>
      <w:pPr>
        <w:pStyle w:val="Compact"/>
        <w:numPr>
          <w:ilvl w:val="0"/>
          <w:numId w:val="1015"/>
        </w:numPr>
      </w:pPr>
      <w:r>
        <w:t xml:space="preserve">The hardest tests here: the</w:t>
      </w:r>
      <w:r>
        <w:t xml:space="preserve"> </w:t>
      </w:r>
      <w:r>
        <w:rPr>
          <w:b/>
          <w:bCs/>
        </w:rPr>
        <w:t xml:space="preserve">AWS carve-out</w:t>
      </w:r>
      <w:r>
        <w:t xml:space="preserve"> </w:t>
      </w:r>
      <w:r>
        <w:t xml:space="preserve">(Marcus — flag only the 11th hour), the</w:t>
      </w:r>
      <w:r>
        <w:t xml:space="preserve"> </w:t>
      </w:r>
      <w:r>
        <w:rPr>
          <w:b/>
          <w:bCs/>
        </w:rPr>
        <w:t xml:space="preserve">commissioned-exemption two-prong analysis</w:t>
      </w:r>
      <w:r>
        <w:t xml:space="preserve"> </w:t>
      </w:r>
      <w:r>
        <w:t xml:space="preserve">(Priya), the</w:t>
      </w:r>
      <w:r>
        <w:t xml:space="preserve"> </w:t>
      </w:r>
      <w:r>
        <w:rPr>
          <w:b/>
          <w:bCs/>
        </w:rPr>
        <w:t xml:space="preserve">piece-rate separate-pay</w:t>
      </w:r>
      <w:r>
        <w:t xml:space="preserve"> </w:t>
      </w:r>
      <w:r>
        <w:t xml:space="preserve">formula (Daniel), the</w:t>
      </w:r>
      <w:r>
        <w:t xml:space="preserve"> </w:t>
      </w:r>
      <w:r>
        <w:rPr>
          <w:b/>
          <w:bCs/>
        </w:rPr>
        <w:t xml:space="preserve">no-tip-credit</w:t>
      </w:r>
      <w:r>
        <w:t xml:space="preserve"> </w:t>
      </w:r>
      <w:r>
        <w:t xml:space="preserve">rule (Emily), the</w:t>
      </w:r>
      <w:r>
        <w:t xml:space="preserve"> </w:t>
      </w:r>
      <w:r>
        <w:rPr>
          <w:b/>
          <w:bCs/>
        </w:rPr>
        <w:t xml:space="preserve">local-ordinance</w:t>
      </w:r>
      <w:r>
        <w:t xml:space="preserve"> </w:t>
      </w:r>
      <w:r>
        <w:t xml:space="preserve">rate (James),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flagging the lawful traps. If your engine over-flags the AWS hours, the waived meal, or the neutral rounding, tighten those rules first.</w:t>
      </w:r>
    </w:p>
    <w:p>
      <w:pPr>
        <w:pStyle w:val="FirstParagraph"/>
      </w:pPr>
      <w:r>
        <w:rPr>
          <w:i/>
          <w:iCs/>
        </w:rPr>
        <w:t xml:space="preserve">All figures computed exactly; this key and the dataset agree to the cent. Authorities reflect the research underlying the PayCure specs and should be re-verified before production use.</w:t>
      </w:r>
    </w:p>
    <w:bookmarkEnd w:id="59"/>
    <w:bookmarkEnd w:id="60"/>
    <w:sectPr w:rsidR="00D169FC" w:rsidRPr="00D169FC">
      <w:headerReference r:id="rId10" w:type="even"/>
      <w:headerReference r:id="rId9" w:type="default"/>
      <w:footerReference r:id="rId12" w:type="even"/>
      <w:footerReference r:id="rId14" w:type="default"/>
      <w:headerReference r:id="rId11" w:type="first"/>
      <w:footerReference r:id="rId13" w:type="firs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9338779"/>
      <w:docPartObj>
        <w:docPartGallery w:val="Page Numbers (Bottom of Page)"/>
        <w:docPartUnique/>
      </w:docPartObj>
    </w:sdtPr>
    <w:sdtContent>
      <w:p w14:paraId="22242289" w14:textId="3F60582E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57F323" w14:textId="77777777" w:rsidR="00B363AB" w:rsidRDefault="00B363AB" w:rsidP="00B363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5545280"/>
      <w:docPartObj>
        <w:docPartGallery w:val="Page Numbers (Bottom of Page)"/>
        <w:docPartUnique/>
      </w:docPartObj>
    </w:sdtPr>
    <w:sdtContent>
      <w:p w14:paraId="64C26418" w14:textId="7A691673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3C2092" w14:textId="1C61889B" w:rsidR="006F6091" w:rsidRDefault="006F6091" w:rsidP="00B363AB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A5C8" w14:textId="77777777" w:rsidR="00B363AB" w:rsidRDefault="00B363A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E2B7" w14:textId="77777777" w:rsidR="00B363AB" w:rsidRDefault="00B36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C468" w14:textId="77777777" w:rsidR="00B363AB" w:rsidRDefault="00B36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1FEF" w14:textId="77777777" w:rsidR="00B363AB" w:rsidRDefault="00B363AB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91"/>
    <w:rsid w:val="000938B5"/>
    <w:rsid w:val="00100C16"/>
    <w:rsid w:val="001541CF"/>
    <w:rsid w:val="00164562"/>
    <w:rsid w:val="001733F7"/>
    <w:rsid w:val="001A5BED"/>
    <w:rsid w:val="0022569A"/>
    <w:rsid w:val="00260315"/>
    <w:rsid w:val="0027219F"/>
    <w:rsid w:val="002B18BC"/>
    <w:rsid w:val="002E718C"/>
    <w:rsid w:val="002F7A6E"/>
    <w:rsid w:val="00370358"/>
    <w:rsid w:val="003A3408"/>
    <w:rsid w:val="004423DE"/>
    <w:rsid w:val="00507F72"/>
    <w:rsid w:val="005B7B5A"/>
    <w:rsid w:val="005F0DC0"/>
    <w:rsid w:val="00606CAE"/>
    <w:rsid w:val="0069216D"/>
    <w:rsid w:val="006F6091"/>
    <w:rsid w:val="0071445F"/>
    <w:rsid w:val="007A580D"/>
    <w:rsid w:val="00824763"/>
    <w:rsid w:val="008D6782"/>
    <w:rsid w:val="00A10CE7"/>
    <w:rsid w:val="00A203F8"/>
    <w:rsid w:val="00B363AB"/>
    <w:rsid w:val="00C02429"/>
    <w:rsid w:val="00C42682"/>
    <w:rsid w:val="00CE05BB"/>
    <w:rsid w:val="00D169FC"/>
    <w:rsid w:val="00D54555"/>
    <w:rsid w:val="00D709B2"/>
    <w:rsid w:val="00E441C9"/>
    <w:rsid w:val="00F13A3B"/>
    <w:rsid w:val="00F32E7D"/>
    <w:rsid w:val="00F36162"/>
    <w:rsid w:val="00F531DA"/>
    <w:rsid w:val="00F733E7"/>
    <w:rsid w:val="00F73A2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inorHAnsi" w:hAnsiTheme="minorHAnsi"/>
        <w:sz w:val="24"/>
        <w:szCs w:val="22"/>
        <w:lang w:bidi="ar-SA" w:eastAsia="en-US" w:val="en-US"/>
      </w:rPr>
    </w:rPrDefault>
    <w:pPrDefault>
      <w:pPr>
        <w:spacing w:after="120" w:line="240" w:lineRule="atLeast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rsid w:val="004423DE"/>
    <w:pPr>
      <w:keepNext/>
      <w:keepLines/>
      <w:spacing w:before="480"/>
      <w:outlineLvl w:val="0"/>
    </w:pPr>
    <w:rPr>
      <w:b/>
      <w:sz w:val="32"/>
      <w:szCs w:val="48"/>
    </w:rPr>
  </w:style>
  <w:style w:styleId="Heading2" w:type="paragraph">
    <w:name w:val="heading 2"/>
    <w:uiPriority w:val="9"/>
    <w:unhideWhenUsed/>
    <w:qFormat/>
    <w:rsid w:val="00D709B2"/>
    <w:pPr>
      <w:keepNext/>
      <w:keepLines/>
      <w:spacing w:after="80" w:before="360"/>
      <w:outlineLvl w:val="1"/>
    </w:pPr>
    <w:rPr>
      <w:b/>
      <w:color w:val="2E74B5"/>
      <w:sz w:val="32"/>
      <w:szCs w:val="36"/>
    </w:rPr>
  </w:style>
  <w:style w:styleId="Heading3" w:type="paragraph">
    <w:name w:val="heading 3"/>
    <w:uiPriority w:val="9"/>
    <w:unhideWhenUsed/>
    <w:qFormat/>
    <w:rsid w:val="00100C16"/>
    <w:pPr>
      <w:keepNext/>
      <w:keepLines/>
      <w:spacing w:after="80" w:before="280"/>
      <w:outlineLvl w:val="2"/>
    </w:pPr>
    <w:rPr>
      <w:b/>
      <w:color w:val="757575"/>
      <w:sz w:val="32"/>
      <w:szCs w:val="28"/>
    </w:rPr>
  </w:style>
  <w:style w:styleId="Heading4" w:type="paragraph">
    <w:name w:val="heading 4"/>
    <w:uiPriority w:val="9"/>
    <w:unhideWhenUsed/>
    <w:qFormat/>
    <w:rsid w:val="00100C16"/>
    <w:pPr>
      <w:keepNext/>
      <w:keepLines/>
      <w:spacing w:after="40" w:before="240"/>
      <w:outlineLvl w:val="3"/>
    </w:pPr>
    <w:rPr>
      <w:color w:val="757575"/>
      <w:sz w:val="32"/>
      <w:szCs w:val="24"/>
    </w:rPr>
  </w:style>
  <w:style w:styleId="Heading5" w:type="paragraph">
    <w:name w:val="heading 5"/>
    <w:uiPriority w:val="9"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uiPriority w:val="9"/>
    <w:unhideWhenUsed/>
    <w:qFormat/>
    <w:rsid w:val="00100C16"/>
    <w:pPr>
      <w:keepNext/>
      <w:keepLines/>
      <w:spacing w:after="40" w:before="200"/>
      <w:outlineLvl w:val="5"/>
    </w:pPr>
    <w:rPr>
      <w:i/>
      <w:color w:val="757575"/>
      <w:szCs w:val="2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100C1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Cs/>
      <w:color w:val="757575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4423DE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i/>
      <w:color w:themeColor="text1" w:themeTint="D8" w:val="272727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4423DE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rsid w:val="00D709B2"/>
    <w:rPr>
      <w:b/>
      <w:color w:val="2E74B5"/>
      <w:u w:val="single"/>
    </w:rPr>
  </w:style>
  <w:style w:styleId="TableGrid" w:type="table">
    <w:name w:val="Table Grid"/>
    <w:basedOn w:val="TableNormal"/>
    <w:uiPriority w:val="39"/>
    <w:rsid w:val="00F73A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73A27"/>
    <w:rPr>
      <w:rFonts w:ascii="Times New Roman" w:hAnsi="Times New Roman"/>
      <w:sz w:val="24"/>
    </w:rPr>
  </w:style>
  <w:style w:styleId="Footer" w:type="paragraph">
    <w:name w:val="footer"/>
    <w:basedOn w:val="Normal"/>
    <w:link w:val="Foot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73A27"/>
    <w:rPr>
      <w:rFonts w:ascii="Times New Roman" w:hAnsi="Times New Roman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73A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73A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73A27"/>
    <w:rPr>
      <w:rFonts w:ascii="Times New Roman" w:hAnsi="Times New Roman"/>
      <w:sz w:val="24"/>
      <w:vertAlign w:val="superscript"/>
    </w:rPr>
  </w:style>
  <w:style w:styleId="Title" w:type="paragraph">
    <w:name w:val="Title"/>
    <w:basedOn w:val="Normal"/>
    <w:next w:val="Normal"/>
    <w:link w:val="TitleChar"/>
    <w:uiPriority w:val="10"/>
    <w:qFormat/>
    <w:rsid w:val="004423DE"/>
    <w:pPr>
      <w:spacing w:after="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4423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4423DE"/>
    <w:pPr>
      <w:numPr>
        <w:ilvl w:val="1"/>
      </w:numPr>
      <w:spacing w:after="160"/>
      <w:jc w:val="center"/>
    </w:pPr>
    <w:rPr>
      <w:rFonts w:asciiTheme="minorHAnsi" w:eastAsiaTheme="minorEastAsia"/>
      <w:color w:themeColor="text1" w:themeTint="A5" w:val="5A5A5A"/>
      <w:spacing w:val="15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4423DE"/>
    <w:rPr>
      <w:rFonts w:asciiTheme="minorHAnsi" w:eastAsiaTheme="minorEastAsia" w:hAnsi="Times New Roman"/>
      <w:color w:themeColor="text1" w:themeTint="A5" w:val="5A5A5A"/>
      <w:spacing w:val="15"/>
      <w:sz w:val="22"/>
    </w:rPr>
  </w:style>
  <w:style w:customStyle="1" w:styleId="Heading7Char" w:type="character">
    <w:name w:val="Heading 7 Char"/>
    <w:basedOn w:val="DefaultParagraphFont"/>
    <w:link w:val="Heading7"/>
    <w:uiPriority w:val="9"/>
    <w:rsid w:val="00100C16"/>
    <w:rPr>
      <w:rFonts w:asciiTheme="majorHAnsi" w:cstheme="majorBidi" w:eastAsiaTheme="majorEastAsia" w:hAnsiTheme="majorHAnsi"/>
      <w:iCs/>
      <w:color w:val="757575"/>
    </w:rPr>
  </w:style>
  <w:style w:customStyle="1" w:styleId="Heading8Char" w:type="character">
    <w:name w:val="Heading 8 Char"/>
    <w:basedOn w:val="DefaultParagraphFont"/>
    <w:link w:val="Heading8"/>
    <w:uiPriority w:val="9"/>
    <w:rsid w:val="004423DE"/>
    <w:rPr>
      <w:rFonts w:asciiTheme="majorHAnsi" w:cstheme="majorBidi" w:eastAsiaTheme="majorEastAsia" w:hAnsiTheme="majorHAnsi"/>
      <w:i/>
      <w:color w:themeColor="text1" w:themeTint="D8" w:val="272727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4423DE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BodyText" w:type="paragraph">
    <w:name w:val="Body Text"/>
    <w:basedOn w:val="Normal"/>
    <w:link w:val="BodyTextChar"/>
    <w:uiPriority w:val="99"/>
    <w:unhideWhenUsed/>
    <w:rsid w:val="004423DE"/>
  </w:style>
  <w:style w:customStyle="1" w:styleId="BodyTextChar" w:type="character">
    <w:name w:val="Body Text Char"/>
    <w:basedOn w:val="DefaultParagraphFont"/>
    <w:link w:val="BodyText"/>
    <w:uiPriority w:val="99"/>
    <w:rsid w:val="004423DE"/>
    <w:rPr>
      <w:rFonts w:ascii="Times New Roman" w:hAnsi="Times New Roman"/>
      <w:sz w:val="24"/>
    </w:rPr>
  </w:style>
  <w:style w:customStyle="1" w:styleId="Author" w:type="paragraph">
    <w:name w:val="Author"/>
    <w:basedOn w:val="Normal"/>
    <w:qFormat/>
    <w:rsid w:val="004423DE"/>
    <w:pPr>
      <w:jc w:val="center"/>
    </w:pPr>
  </w:style>
  <w:style w:styleId="Date" w:type="paragraph">
    <w:name w:val="Date"/>
    <w:basedOn w:val="Normal"/>
    <w:next w:val="Normal"/>
    <w:link w:val="DateChar"/>
    <w:uiPriority w:val="99"/>
    <w:unhideWhenUsed/>
    <w:rsid w:val="004423DE"/>
    <w:pPr>
      <w:jc w:val="center"/>
    </w:pPr>
  </w:style>
  <w:style w:customStyle="1" w:styleId="DateChar" w:type="character">
    <w:name w:val="Date Char"/>
    <w:basedOn w:val="DefaultParagraphFont"/>
    <w:link w:val="Date"/>
    <w:uiPriority w:val="99"/>
    <w:rsid w:val="004423DE"/>
    <w:rPr>
      <w:rFonts w:ascii="Times New Roman" w:hAnsi="Times New Roman"/>
      <w:sz w:val="24"/>
    </w:rPr>
  </w:style>
  <w:style w:customStyle="1" w:styleId="Abstract" w:type="paragraph">
    <w:name w:val="Abstract"/>
    <w:qFormat/>
    <w:rsid w:val="004423DE"/>
  </w:style>
  <w:style w:customStyle="1" w:styleId="FirstParagraph" w:type="paragraph">
    <w:name w:val="First Paragraph"/>
    <w:basedOn w:val="BodyText"/>
    <w:next w:val="BodyText"/>
    <w:qFormat/>
    <w:rsid w:val="004423DE"/>
  </w:style>
  <w:style w:styleId="BlockText" w:type="paragraph">
    <w:name w:val="Block Text"/>
    <w:basedOn w:val="Normal"/>
    <w:uiPriority w:val="99"/>
    <w:unhideWhenUsed/>
    <w:rsid w:val="00F36162"/>
    <w:pPr>
      <w:ind w:left="288" w:right="1152"/>
    </w:pPr>
    <w:rPr>
      <w:rFonts w:asciiTheme="minorHAnsi" w:eastAsiaTheme="minorEastAsia"/>
      <w:iCs/>
      <w:color w:themeColor="text1" w:val="000000"/>
    </w:rPr>
  </w:style>
  <w:style w:customStyle="1" w:styleId="Compact" w:type="paragraph">
    <w:name w:val="Compact"/>
    <w:basedOn w:val="BodyText"/>
    <w:qFormat/>
    <w:rsid w:val="0069216D"/>
    <w:pPr>
      <w:spacing w:after="36" w:before="36" w:line="240" w:lineRule="auto"/>
    </w:pPr>
    <w:rPr>
      <w:rFonts w:hAnsi="Times New Roman"/>
      <w:szCs w:val="24"/>
    </w:rPr>
  </w:style>
  <w:style w:customStyle="1" w:styleId="Table" w:type="table">
    <w:name w:val="Table"/>
    <w:semiHidden/>
    <w:unhideWhenUsed/>
    <w:qFormat/>
    <w:rsid w:val="005F0DC0"/>
    <w:pPr>
      <w:spacing w:after="200" w:line="240" w:lineRule="auto"/>
    </w:pPr>
    <w:rPr>
      <w:rFonts w:asciiTheme="minorHAnsi"/>
      <w:sz w:val="20"/>
      <w:szCs w:val="24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BodyText2" w:type="paragraph">
    <w:name w:val="Body Text 2"/>
    <w:basedOn w:val="Normal"/>
    <w:link w:val="BodyText2Char"/>
    <w:uiPriority w:val="99"/>
    <w:unhideWhenUsed/>
    <w:rsid w:val="00E441C9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E441C9"/>
  </w:style>
  <w:style w:customStyle="1" w:styleId="green-char-style" w:type="character">
    <w:name w:val="green-char-style"/>
    <w:basedOn w:val="DefaultParagraphFont"/>
    <w:uiPriority w:val="1"/>
    <w:qFormat/>
    <w:rsid w:val="002E718C"/>
    <w:rPr>
      <w:b w:val="0"/>
      <w:color w:val="218321"/>
    </w:rPr>
  </w:style>
  <w:style w:customStyle="1" w:styleId="plain-black-char-style" w:type="character">
    <w:name w:val="plain-black-char-style"/>
    <w:uiPriority w:val="1"/>
    <w:qFormat/>
    <w:rsid w:val="00D169FC"/>
    <w:rPr>
      <w:color w:themeColor="text1" w:val="000000"/>
    </w:rPr>
  </w:style>
  <w:style w:styleId="PageNumber" w:type="character">
    <w:name w:val="page number"/>
    <w:basedOn w:val="DefaultParagraphFont"/>
    <w:uiPriority w:val="99"/>
    <w:semiHidden/>
    <w:unhideWhenUsed/>
    <w:rsid w:val="00B363AB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3.xml"/><Relationship Id="rId14" Type="http://schemas.openxmlformats.org/officeDocument/2006/relationships/footer" Target="footer2.xml"/><Relationship Id="rId24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20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55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57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56" Type="http://schemas.openxmlformats.org/officeDocument/2006/relationships/hyperlink" Target="https://leginfo.legislature.ca.gov/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20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55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57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56" Type="http://schemas.openxmlformats.org/officeDocument/2006/relationships/hyperlink" Target="https://leginfo.legislature.c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</Words>
  <Characters>165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Documents (Short Answers Only)</vt:lpstr>
    </vt:vector>
  </TitlesOfParts>
  <Manager/>
  <Company/>
  <LinksUpToDate>false</LinksUpToDate>
  <CharactersWithSpaces>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</dc:title>
  <dc:creator>Aldune test data</dc:creator>
  <cp:keywords/>
  <dcterms:created xsi:type="dcterms:W3CDTF">2026-10-07T18:43:02Z</dcterms:created>
  <dcterms:modified xsi:type="dcterms:W3CDTF">2026-10-07T18:43:02Z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