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28"/>
        </w:rPr>
        <w:t>COMP4026 Computer Vision and Pattern Recognition</w:t>
      </w:r>
    </w:p>
    <w:p>
      <w:pPr>
        <w:jc w:val="center"/>
      </w:pPr>
      <w:r>
        <w:rPr>
          <w:b/>
          <w:sz w:val="44"/>
        </w:rPr>
        <w:t>Group Project Proposal</w:t>
      </w:r>
    </w:p>
    <w:p>
      <w:pPr>
        <w:jc w:val="center"/>
      </w:pPr>
      <w:r>
        <w:rPr>
          <w:color w:val="34495E"/>
          <w:sz w:val="32"/>
        </w:rPr>
        <w:t>Anonymised Facial Expression Recognition</w:t>
      </w:r>
    </w:p>
    <w:p/>
    <w:p/>
    <w:p>
      <w:pPr>
        <w:jc w:val="center"/>
      </w:pPr>
      <w:r>
        <w:rPr>
          <w:b/>
        </w:rPr>
        <w:t>Group Members:</w:t>
      </w:r>
    </w:p>
    <w:p>
      <w:pPr>
        <w:jc w:val="center"/>
      </w:pPr>
      <w:r>
        <w:t>[Student A Name] — Face Recognition Model</w:t>
      </w:r>
    </w:p>
    <w:p>
      <w:pPr>
        <w:jc w:val="center"/>
      </w:pPr>
      <w:r>
        <w:t>[Student B Name] — Face Anonymisation Model</w:t>
      </w:r>
    </w:p>
    <w:p>
      <w:pPr>
        <w:jc w:val="center"/>
      </w:pPr>
      <w:r>
        <w:t>[Student C Name] — Expression Recognition Model</w:t>
      </w:r>
    </w:p>
    <w:p>
      <w:pPr>
        <w:jc w:val="center"/>
      </w:pPr>
      <w:r/>
    </w:p>
    <w:p>
      <w:pPr>
        <w:jc w:val="center"/>
      </w:pPr>
      <w:r>
        <w:t>2nd Semester 2025–2026</w:t>
      </w:r>
    </w:p>
    <w:p>
      <w:pPr>
        <w:jc w:val="center"/>
      </w:pPr>
      <w:r>
        <w:t>Submission Date: 17 March 2026</w:t>
      </w:r>
    </w:p>
    <w:p>
      <w:r>
        <w:br w:type="page"/>
      </w:r>
    </w:p>
    <w:p>
      <w:pPr>
        <w:pStyle w:val="Heading1"/>
      </w:pPr>
      <w:r>
        <w:t>1. Introduction</w:t>
      </w:r>
    </w:p>
    <w:p>
      <w:r>
        <w:t>Facial recognition and expression recognition systems have achieved remarkable accuracy in recent years. However, these systems process biometric data that contains sensitive personal information, raising significant privacy concerns. The European Union’s GDPR, for example, classifies facial images as biometric data requiring explicit consent for processing. This creates a fundamental tension: how can we leverage the utility of facial expression analysis while protecting individual identity?</w:t>
      </w:r>
    </w:p>
    <w:p>
      <w:r>
        <w:t xml:space="preserve">This project addresses this challenge by building a prototype for </w:t>
      </w:r>
      <w:r>
        <w:rPr>
          <w:b/>
        </w:rPr>
        <w:t>Anonymised Facial Expression Recognition</w:t>
      </w:r>
      <w:r>
        <w:t>. The core idea is to transform face images into anonymised versions that preserve facial expressions while concealing the original identity. The system consists of three interconnected components: (1) a face recognition model that verifies identity protection strength, (2) a face anonymisation model that transforms images, and (3) a facial expression recognition model that works on the anonymised output.</w:t>
      </w:r>
    </w:p>
    <w:p>
      <w:r>
        <w:t>The key challenge is to maintain expression recognition accuracy while ensuring that a well-trained face recognition model cannot identify the original person from the anonymised images. A successful system would achieve near-random-chance identity recognition on anonymised images while preserving high expression classification accuracy.</w:t>
      </w:r>
    </w:p>
    <w:p>
      <w:pPr>
        <w:pStyle w:val="Heading1"/>
      </w:pPr>
      <w:r>
        <w:t>2. Preliminary Studies</w:t>
      </w:r>
    </w:p>
    <w:p>
      <w:pPr>
        <w:pStyle w:val="Heading2"/>
      </w:pPr>
      <w:r>
        <w:t>2.1 Dataset Analysis</w:t>
      </w:r>
    </w:p>
    <w:p>
      <w:r>
        <w:t xml:space="preserve">We have conducted preliminary analysis on the assigned datasets. For the face recognition component (Student A), we use the </w:t>
      </w:r>
      <w:r>
        <w:rPr>
          <w:b/>
        </w:rPr>
        <w:t>Pins Face Recognition</w:t>
      </w:r>
      <w:r>
        <w:t xml:space="preserve"> dataset from Kaggle (hereisburak/pins-face-recognition), which contains 17,534 face images across 105 celebrity identities. The dataset exhibits moderate class imbalance, with images per identity ranging from 86 (Lionel Messi) to 237 (Leonardo DiCaprio), and a mean of approximately 167 images per identity.</w:t>
      </w:r>
    </w:p>
    <w:p>
      <w:r>
        <w:rPr>
          <w:b/>
        </w:rPr>
        <w:t>Table 1: Dataset Overview</w:t>
      </w:r>
      <w:r>
        <w:rPr>
          <w:sz w:val="20"/>
        </w:rPr>
      </w:r>
    </w:p>
    <w:tbl>
      <w:tblPr>
        <w:tblStyle w:val="TableGrid"/>
        <w:tblW w:type="auto" w:w="0"/>
        <w:jc w:val="center"/>
        <w:tblLook w:firstColumn="1" w:firstRow="1" w:lastColumn="0" w:lastRow="0" w:noHBand="0" w:noVBand="1" w:val="04A0"/>
      </w:tblPr>
      <w:tblGrid>
        <w:gridCol w:w="3120"/>
        <w:gridCol w:w="3120"/>
        <w:gridCol w:w="3120"/>
      </w:tblGrid>
      <w:tr>
        <w:tc>
          <w:tcPr>
            <w:tcW w:type="dxa" w:w="2835"/>
            <w:shd w:fill="2C3E50" w:val="clear"/>
          </w:tcPr>
          <w:p>
            <w:r/>
            <w:r>
              <w:rPr>
                <w:rFonts w:ascii="Arial" w:hAnsi="Arial"/>
                <w:b/>
                <w:color w:val="FFFFFF"/>
                <w:sz w:val="20"/>
              </w:rPr>
              <w:t>Dataset</w:t>
            </w:r>
          </w:p>
        </w:tc>
        <w:tc>
          <w:tcPr>
            <w:tcW w:type="dxa" w:w="3118"/>
            <w:shd w:fill="2C3E50" w:val="clear"/>
          </w:tcPr>
          <w:p>
            <w:r/>
            <w:r>
              <w:rPr>
                <w:rFonts w:ascii="Arial" w:hAnsi="Arial"/>
                <w:b/>
                <w:color w:val="FFFFFF"/>
                <w:sz w:val="20"/>
              </w:rPr>
              <w:t>Purpose</w:t>
            </w:r>
          </w:p>
        </w:tc>
        <w:tc>
          <w:tcPr>
            <w:tcW w:type="dxa" w:w="3118"/>
            <w:shd w:fill="2C3E50" w:val="clear"/>
          </w:tcPr>
          <w:p>
            <w:r/>
            <w:r>
              <w:rPr>
                <w:rFonts w:ascii="Arial" w:hAnsi="Arial"/>
                <w:b/>
                <w:color w:val="FFFFFF"/>
                <w:sz w:val="20"/>
              </w:rPr>
              <w:t>Details</w:t>
            </w:r>
          </w:p>
        </w:tc>
      </w:tr>
      <w:tr>
        <w:tc>
          <w:tcPr>
            <w:tcW w:type="dxa" w:w="2835"/>
          </w:tcPr>
          <w:p>
            <w:r/>
            <w:r>
              <w:rPr>
                <w:rFonts w:ascii="Arial" w:hAnsi="Arial"/>
                <w:sz w:val="20"/>
              </w:rPr>
              <w:t>Pins Face Recognition</w:t>
            </w:r>
          </w:p>
        </w:tc>
        <w:tc>
          <w:tcPr>
            <w:tcW w:type="dxa" w:w="3118"/>
          </w:tcPr>
          <w:p>
            <w:r/>
            <w:r>
              <w:rPr>
                <w:rFonts w:ascii="Arial" w:hAnsi="Arial"/>
                <w:sz w:val="20"/>
              </w:rPr>
              <w:t>Face Recognition (Student A)</w:t>
            </w:r>
          </w:p>
        </w:tc>
        <w:tc>
          <w:tcPr>
            <w:tcW w:type="dxa" w:w="3118"/>
          </w:tcPr>
          <w:p>
            <w:r/>
            <w:r>
              <w:rPr>
                <w:rFonts w:ascii="Arial" w:hAnsi="Arial"/>
                <w:sz w:val="20"/>
              </w:rPr>
              <w:t>105 identities, 17,534 images</w:t>
            </w:r>
          </w:p>
        </w:tc>
      </w:tr>
      <w:tr>
        <w:tc>
          <w:tcPr>
            <w:tcW w:type="dxa" w:w="2835"/>
          </w:tcPr>
          <w:p>
            <w:r/>
            <w:r>
              <w:rPr>
                <w:rFonts w:ascii="Arial" w:hAnsi="Arial"/>
                <w:sz w:val="20"/>
              </w:rPr>
              <w:t>CelebA-HQ</w:t>
            </w:r>
          </w:p>
        </w:tc>
        <w:tc>
          <w:tcPr>
            <w:tcW w:type="dxa" w:w="3118"/>
          </w:tcPr>
          <w:p>
            <w:r/>
            <w:r>
              <w:rPr>
                <w:rFonts w:ascii="Arial" w:hAnsi="Arial"/>
                <w:sz w:val="20"/>
              </w:rPr>
              <w:t>Face Anonymisation (Student B)</w:t>
            </w:r>
          </w:p>
        </w:tc>
        <w:tc>
          <w:tcPr>
            <w:tcW w:type="dxa" w:w="3118"/>
          </w:tcPr>
          <w:p>
            <w:r/>
            <w:r>
              <w:rPr>
                <w:rFonts w:ascii="Arial" w:hAnsi="Arial"/>
                <w:sz w:val="20"/>
              </w:rPr>
              <w:t>High-quality celebrity faces</w:t>
            </w:r>
          </w:p>
        </w:tc>
      </w:tr>
      <w:tr>
        <w:tc>
          <w:tcPr>
            <w:tcW w:type="dxa" w:w="2835"/>
          </w:tcPr>
          <w:p>
            <w:r/>
            <w:r>
              <w:rPr>
                <w:rFonts w:ascii="Arial" w:hAnsi="Arial"/>
                <w:sz w:val="20"/>
              </w:rPr>
              <w:t>FER-2013</w:t>
            </w:r>
          </w:p>
        </w:tc>
        <w:tc>
          <w:tcPr>
            <w:tcW w:type="dxa" w:w="3118"/>
          </w:tcPr>
          <w:p>
            <w:r/>
            <w:r>
              <w:rPr>
                <w:rFonts w:ascii="Arial" w:hAnsi="Arial"/>
                <w:sz w:val="20"/>
              </w:rPr>
              <w:t>Expression Classification (Student C)</w:t>
            </w:r>
          </w:p>
        </w:tc>
        <w:tc>
          <w:tcPr>
            <w:tcW w:type="dxa" w:w="3118"/>
          </w:tcPr>
          <w:p>
            <w:r/>
            <w:r>
              <w:rPr>
                <w:rFonts w:ascii="Arial" w:hAnsi="Arial"/>
                <w:sz w:val="20"/>
              </w:rPr>
              <w:t>7 expressions, 35,887 images</w:t>
            </w:r>
          </w:p>
        </w:tc>
      </w:tr>
    </w:tbl>
    <w:p/>
    <w:p>
      <w:r>
        <w:t>Our initial data exploration reveals that the Pins Face Recognition dataset consists of internet-sourced images with diverse lighting conditions, poses, and backgrounds, making it suitable for training a robust face recognition model. The data split is 70% training (12,225 images), 15% validation (2,574 images), and 15% testing (2,735 images).</w:t>
      </w:r>
    </w:p>
    <w:p>
      <w:pPr>
        <w:pStyle w:val="Heading2"/>
      </w:pPr>
      <w:r>
        <w:t>2.2 Preliminary Experiments</w:t>
      </w:r>
    </w:p>
    <w:p>
      <w:r>
        <w:t>We conducted a quick-test preliminary experiment using a subset of 20 identities from the Pins dataset to validate our face recognition pipeline. Using a ResNet-50 backbone with ArcFace loss, trained for only 5 epochs on an Apple M-series GPU (MPS), we achieved a test accuracy of 90.65% (Top-1) and 99.39% (Top-5). This confirms that the chosen architecture and dataset are viable for building a reliable identity classifier.</w:t>
      </w:r>
    </w:p>
    <w:p>
      <w:r>
        <w:rPr>
          <w:b/>
        </w:rPr>
        <w:t>Table 2: Preliminary Experiment Results (20-Identity Subset)</w:t>
      </w:r>
    </w:p>
    <w:tbl>
      <w:tblPr>
        <w:tblStyle w:val="TableGrid"/>
        <w:tblW w:type="auto" w:w="0"/>
        <w:jc w:val="center"/>
        <w:tblLook w:firstColumn="1" w:firstRow="1" w:lastColumn="0" w:lastRow="0" w:noHBand="0" w:noVBand="1" w:val="04A0"/>
      </w:tblPr>
      <w:tblGrid>
        <w:gridCol w:w="4680"/>
        <w:gridCol w:w="4680"/>
      </w:tblGrid>
      <w:tr>
        <w:tc>
          <w:tcPr>
            <w:tcW w:type="dxa" w:w="4535"/>
            <w:shd w:fill="2C3E50" w:val="clear"/>
          </w:tcPr>
          <w:p>
            <w:r/>
            <w:r>
              <w:rPr>
                <w:rFonts w:ascii="Arial" w:hAnsi="Arial"/>
                <w:b/>
                <w:color w:val="FFFFFF"/>
                <w:sz w:val="20"/>
              </w:rPr>
              <w:t>Metric</w:t>
            </w:r>
          </w:p>
        </w:tc>
        <w:tc>
          <w:tcPr>
            <w:tcW w:type="dxa" w:w="4535"/>
            <w:shd w:fill="2C3E50" w:val="clear"/>
          </w:tcPr>
          <w:p>
            <w:r/>
            <w:r>
              <w:rPr>
                <w:rFonts w:ascii="Arial" w:hAnsi="Arial"/>
                <w:b/>
                <w:color w:val="FFFFFF"/>
                <w:sz w:val="20"/>
              </w:rPr>
              <w:t>Value</w:t>
            </w:r>
          </w:p>
        </w:tc>
      </w:tr>
      <w:tr>
        <w:tc>
          <w:tcPr>
            <w:tcW w:type="dxa" w:w="4535"/>
          </w:tcPr>
          <w:p>
            <w:r/>
            <w:r>
              <w:rPr>
                <w:rFonts w:ascii="Arial" w:hAnsi="Arial"/>
                <w:sz w:val="20"/>
              </w:rPr>
              <w:t>Top-1 Identification Accuracy</w:t>
            </w:r>
          </w:p>
        </w:tc>
        <w:tc>
          <w:tcPr>
            <w:tcW w:type="dxa" w:w="4535"/>
          </w:tcPr>
          <w:p>
            <w:r/>
            <w:r>
              <w:rPr>
                <w:rFonts w:ascii="Arial" w:hAnsi="Arial"/>
                <w:sz w:val="20"/>
              </w:rPr>
              <w:t>90.65%</w:t>
            </w:r>
          </w:p>
        </w:tc>
      </w:tr>
      <w:tr>
        <w:tc>
          <w:tcPr>
            <w:tcW w:type="dxa" w:w="4535"/>
          </w:tcPr>
          <w:p>
            <w:r/>
            <w:r>
              <w:rPr>
                <w:rFonts w:ascii="Arial" w:hAnsi="Arial"/>
                <w:sz w:val="20"/>
              </w:rPr>
              <w:t>Top-5 Identification Accuracy</w:t>
            </w:r>
          </w:p>
        </w:tc>
        <w:tc>
          <w:tcPr>
            <w:tcW w:type="dxa" w:w="4535"/>
          </w:tcPr>
          <w:p>
            <w:r/>
            <w:r>
              <w:rPr>
                <w:rFonts w:ascii="Arial" w:hAnsi="Arial"/>
                <w:sz w:val="20"/>
              </w:rPr>
              <w:t>99.39%</w:t>
            </w:r>
          </w:p>
        </w:tc>
      </w:tr>
      <w:tr>
        <w:tc>
          <w:tcPr>
            <w:tcW w:type="dxa" w:w="4535"/>
          </w:tcPr>
          <w:p>
            <w:r/>
            <w:r>
              <w:rPr>
                <w:rFonts w:ascii="Arial" w:hAnsi="Arial"/>
                <w:sz w:val="20"/>
              </w:rPr>
              <w:t>Equal Error Rate (EER)</w:t>
            </w:r>
          </w:p>
        </w:tc>
        <w:tc>
          <w:tcPr>
            <w:tcW w:type="dxa" w:w="4535"/>
          </w:tcPr>
          <w:p>
            <w:r/>
            <w:r>
              <w:rPr>
                <w:rFonts w:ascii="Arial" w:hAnsi="Arial"/>
                <w:sz w:val="20"/>
              </w:rPr>
              <w:t>0.069</w:t>
            </w:r>
          </w:p>
        </w:tc>
      </w:tr>
      <w:tr>
        <w:tc>
          <w:tcPr>
            <w:tcW w:type="dxa" w:w="4535"/>
          </w:tcPr>
          <w:p>
            <w:r/>
            <w:r>
              <w:rPr>
                <w:rFonts w:ascii="Arial" w:hAnsi="Arial"/>
                <w:sz w:val="20"/>
              </w:rPr>
              <w:t>TAR @ FAR=0.01</w:t>
            </w:r>
          </w:p>
        </w:tc>
        <w:tc>
          <w:tcPr>
            <w:tcW w:type="dxa" w:w="4535"/>
          </w:tcPr>
          <w:p>
            <w:r/>
            <w:r>
              <w:rPr>
                <w:rFonts w:ascii="Arial" w:hAnsi="Arial"/>
                <w:sz w:val="20"/>
              </w:rPr>
              <w:t>0.792</w:t>
            </w:r>
          </w:p>
        </w:tc>
      </w:tr>
      <w:tr>
        <w:tc>
          <w:tcPr>
            <w:tcW w:type="dxa" w:w="4535"/>
          </w:tcPr>
          <w:p>
            <w:r/>
            <w:r>
              <w:rPr>
                <w:rFonts w:ascii="Arial" w:hAnsi="Arial"/>
                <w:sz w:val="20"/>
              </w:rPr>
              <w:t>Training Time (5 epochs, MPS)</w:t>
            </w:r>
          </w:p>
        </w:tc>
        <w:tc>
          <w:tcPr>
            <w:tcW w:type="dxa" w:w="4535"/>
          </w:tcPr>
          <w:p>
            <w:r/>
            <w:r>
              <w:rPr>
                <w:rFonts w:ascii="Arial" w:hAnsi="Arial"/>
                <w:sz w:val="20"/>
              </w:rPr>
              <w:t>7.3 minutes</w:t>
            </w:r>
          </w:p>
        </w:tc>
      </w:tr>
    </w:tbl>
    <w:p/>
    <w:p>
      <w:r>
        <w:t>These preliminary results on 20 identities validated the pipeline and informed our two-phase training strategy (see Section 3). We then proceeded to full-scale training on all 105 identities.</w:t>
      </w:r>
    </w:p>
    <w:p>
      <w:pPr>
        <w:pStyle w:val="Heading2"/>
      </w:pPr>
      <w:r>
        <w:t>2.3 Full Training Results (105 Identities)</w:t>
      </w:r>
    </w:p>
    <w:p>
      <w:r>
        <w:t>Following the preliminary experiments, we trained the face recognition model on all 105 identities in the Pins Face Recognition dataset for 30 epochs using our two-phase training strategy: Cross-Entropy warmup for the first 5 epochs followed by ArcFace loss (scale=32, margin=0.3) for the remaining 25 epochs. Training was performed on an Apple M-series GPU (MPS) and took approximately 291.8 minutes.</w:t>
      </w:r>
    </w:p>
    <w:p>
      <w:r>
        <w:rPr>
          <w:b/>
        </w:rPr>
        <w:t>Table 3: Full Training Results (105 Identities, 30 Epochs)</w:t>
      </w:r>
    </w:p>
    <w:tbl>
      <w:tblPr>
        <w:tblStyle w:val="TableGrid"/>
        <w:tblW w:type="auto" w:w="0"/>
        <w:jc w:val="center"/>
        <w:tblLook w:firstColumn="1" w:firstRow="1" w:lastColumn="0" w:lastRow="0" w:noHBand="0" w:noVBand="1" w:val="04A0"/>
      </w:tblPr>
      <w:tblGrid>
        <w:gridCol w:w="4680"/>
        <w:gridCol w:w="4680"/>
      </w:tblGrid>
      <w:tr>
        <w:tc>
          <w:tcPr>
            <w:tcW w:type="dxa" w:w="4535"/>
            <w:shd w:fill="2C3E50" w:val="clear"/>
          </w:tcPr>
          <w:p>
            <w:r/>
            <w:r>
              <w:rPr>
                <w:rFonts w:ascii="Arial" w:hAnsi="Arial"/>
                <w:b/>
                <w:color w:val="FFFFFF"/>
                <w:sz w:val="20"/>
              </w:rPr>
              <w:t>Metric</w:t>
            </w:r>
          </w:p>
        </w:tc>
        <w:tc>
          <w:tcPr>
            <w:tcW w:type="dxa" w:w="4535"/>
            <w:shd w:fill="2C3E50" w:val="clear"/>
          </w:tcPr>
          <w:p>
            <w:r/>
            <w:r>
              <w:rPr>
                <w:rFonts w:ascii="Arial" w:hAnsi="Arial"/>
                <w:b/>
                <w:color w:val="FFFFFF"/>
                <w:sz w:val="20"/>
              </w:rPr>
              <w:t>Value</w:t>
            </w:r>
          </w:p>
        </w:tc>
      </w:tr>
      <w:tr>
        <w:tc>
          <w:tcPr>
            <w:tcW w:type="dxa" w:w="4535"/>
          </w:tcPr>
          <w:p>
            <w:r/>
            <w:r>
              <w:rPr>
                <w:rFonts w:ascii="Arial" w:hAnsi="Arial"/>
                <w:sz w:val="20"/>
              </w:rPr>
              <w:t>Top-1 Identification Accuracy</w:t>
            </w:r>
          </w:p>
        </w:tc>
        <w:tc>
          <w:tcPr>
            <w:tcW w:type="dxa" w:w="4535"/>
          </w:tcPr>
          <w:p>
            <w:r/>
            <w:r>
              <w:rPr>
                <w:rFonts w:ascii="Arial" w:hAnsi="Arial"/>
                <w:sz w:val="20"/>
              </w:rPr>
              <w:t>93.46%</w:t>
            </w:r>
          </w:p>
        </w:tc>
      </w:tr>
      <w:tr>
        <w:tc>
          <w:tcPr>
            <w:tcW w:type="dxa" w:w="4535"/>
          </w:tcPr>
          <w:p>
            <w:r/>
            <w:r>
              <w:rPr>
                <w:rFonts w:ascii="Arial" w:hAnsi="Arial"/>
                <w:sz w:val="20"/>
              </w:rPr>
              <w:t>Top-5 Identification Accuracy</w:t>
            </w:r>
          </w:p>
        </w:tc>
        <w:tc>
          <w:tcPr>
            <w:tcW w:type="dxa" w:w="4535"/>
          </w:tcPr>
          <w:p>
            <w:r/>
            <w:r>
              <w:rPr>
                <w:rFonts w:ascii="Arial" w:hAnsi="Arial"/>
                <w:sz w:val="20"/>
              </w:rPr>
              <w:t>98.03%</w:t>
            </w:r>
          </w:p>
        </w:tc>
      </w:tr>
      <w:tr>
        <w:tc>
          <w:tcPr>
            <w:tcW w:type="dxa" w:w="4535"/>
          </w:tcPr>
          <w:p>
            <w:r/>
            <w:r>
              <w:rPr>
                <w:rFonts w:ascii="Arial" w:hAnsi="Arial"/>
                <w:sz w:val="20"/>
              </w:rPr>
              <w:t>Best Validation Accuracy</w:t>
            </w:r>
          </w:p>
        </w:tc>
        <w:tc>
          <w:tcPr>
            <w:tcW w:type="dxa" w:w="4535"/>
          </w:tcPr>
          <w:p>
            <w:r/>
            <w:r>
              <w:rPr>
                <w:rFonts w:ascii="Arial" w:hAnsi="Arial"/>
                <w:sz w:val="20"/>
              </w:rPr>
              <w:t>93.01%</w:t>
            </w:r>
          </w:p>
        </w:tc>
      </w:tr>
      <w:tr>
        <w:tc>
          <w:tcPr>
            <w:tcW w:type="dxa" w:w="4535"/>
          </w:tcPr>
          <w:p>
            <w:r/>
            <w:r>
              <w:rPr>
                <w:rFonts w:ascii="Arial" w:hAnsi="Arial"/>
                <w:sz w:val="20"/>
              </w:rPr>
              <w:t>Equal Error Rate (EER)</w:t>
            </w:r>
          </w:p>
        </w:tc>
        <w:tc>
          <w:tcPr>
            <w:tcW w:type="dxa" w:w="4535"/>
          </w:tcPr>
          <w:p>
            <w:r/>
            <w:r>
              <w:rPr>
                <w:rFonts w:ascii="Arial" w:hAnsi="Arial"/>
                <w:sz w:val="20"/>
              </w:rPr>
              <w:t>0.0528</w:t>
            </w:r>
          </w:p>
        </w:tc>
      </w:tr>
      <w:tr>
        <w:tc>
          <w:tcPr>
            <w:tcW w:type="dxa" w:w="4535"/>
          </w:tcPr>
          <w:p>
            <w:r/>
            <w:r>
              <w:rPr>
                <w:rFonts w:ascii="Arial" w:hAnsi="Arial"/>
                <w:sz w:val="20"/>
              </w:rPr>
              <w:t>TAR @ FAR=0.1</w:t>
            </w:r>
          </w:p>
        </w:tc>
        <w:tc>
          <w:tcPr>
            <w:tcW w:type="dxa" w:w="4535"/>
          </w:tcPr>
          <w:p>
            <w:r/>
            <w:r>
              <w:rPr>
                <w:rFonts w:ascii="Arial" w:hAnsi="Arial"/>
                <w:sz w:val="20"/>
              </w:rPr>
              <w:t>0.9694</w:t>
            </w:r>
          </w:p>
        </w:tc>
      </w:tr>
      <w:tr>
        <w:tc>
          <w:tcPr>
            <w:tcW w:type="dxa" w:w="4535"/>
          </w:tcPr>
          <w:p>
            <w:r/>
            <w:r>
              <w:rPr>
                <w:rFonts w:ascii="Arial" w:hAnsi="Arial"/>
                <w:sz w:val="20"/>
              </w:rPr>
              <w:t>TAR @ FAR=0.01</w:t>
            </w:r>
          </w:p>
        </w:tc>
        <w:tc>
          <w:tcPr>
            <w:tcW w:type="dxa" w:w="4535"/>
          </w:tcPr>
          <w:p>
            <w:r/>
            <w:r>
              <w:rPr>
                <w:rFonts w:ascii="Arial" w:hAnsi="Arial"/>
                <w:sz w:val="20"/>
              </w:rPr>
              <w:t>0.8576</w:t>
            </w:r>
          </w:p>
        </w:tc>
      </w:tr>
      <w:tr>
        <w:tc>
          <w:tcPr>
            <w:tcW w:type="dxa" w:w="4535"/>
          </w:tcPr>
          <w:p>
            <w:r/>
            <w:r>
              <w:rPr>
                <w:rFonts w:ascii="Arial" w:hAnsi="Arial"/>
                <w:sz w:val="20"/>
              </w:rPr>
              <w:t>TAR @ FAR=0.001</w:t>
            </w:r>
          </w:p>
        </w:tc>
        <w:tc>
          <w:tcPr>
            <w:tcW w:type="dxa" w:w="4535"/>
          </w:tcPr>
          <w:p>
            <w:r/>
            <w:r>
              <w:rPr>
                <w:rFonts w:ascii="Arial" w:hAnsi="Arial"/>
                <w:sz w:val="20"/>
              </w:rPr>
              <w:t>0.7326</w:t>
            </w:r>
          </w:p>
        </w:tc>
      </w:tr>
      <w:tr>
        <w:tc>
          <w:tcPr>
            <w:tcW w:type="dxa" w:w="4535"/>
          </w:tcPr>
          <w:p>
            <w:r/>
            <w:r>
              <w:rPr>
                <w:rFonts w:ascii="Arial" w:hAnsi="Arial"/>
                <w:sz w:val="20"/>
              </w:rPr>
              <w:t>Test Loss</w:t>
            </w:r>
          </w:p>
        </w:tc>
        <w:tc>
          <w:tcPr>
            <w:tcW w:type="dxa" w:w="4535"/>
          </w:tcPr>
          <w:p>
            <w:r/>
            <w:r>
              <w:rPr>
                <w:rFonts w:ascii="Arial" w:hAnsi="Arial"/>
                <w:sz w:val="20"/>
              </w:rPr>
              <w:t>1.699</w:t>
            </w:r>
          </w:p>
        </w:tc>
      </w:tr>
      <w:tr>
        <w:tc>
          <w:tcPr>
            <w:tcW w:type="dxa" w:w="4535"/>
          </w:tcPr>
          <w:p>
            <w:r/>
            <w:r>
              <w:rPr>
                <w:rFonts w:ascii="Arial" w:hAnsi="Arial"/>
                <w:sz w:val="20"/>
              </w:rPr>
              <w:t>Training Time (30 epochs, MPS)</w:t>
            </w:r>
          </w:p>
        </w:tc>
        <w:tc>
          <w:tcPr>
            <w:tcW w:type="dxa" w:w="4535"/>
          </w:tcPr>
          <w:p>
            <w:r/>
            <w:r>
              <w:rPr>
                <w:rFonts w:ascii="Arial" w:hAnsi="Arial"/>
                <w:sz w:val="20"/>
              </w:rPr>
              <w:t>291.8 minutes</w:t>
            </w:r>
          </w:p>
        </w:tc>
      </w:tr>
    </w:tbl>
    <w:p/>
    <w:p>
      <w:r>
        <w:t>The two-phase training strategy proved essential for achieving strong performance. During the CE warmup phase (epochs 1–5), validation accuracy reached approximately 80%. After switching to ArcFace loss at epoch 6, the model steadily improved to a final test accuracy of 93.46%. The training curves show healthy convergence with a clear phase transition at epoch 6. The confusion matrix reveals a strong diagonal pattern, indicating consistent correct predictions across all 105 identities.</w:t>
      </w:r>
    </w:p>
    <w:p>
      <w:r>
        <w:t>The verification metrics further confirm the model’s discriminative capability. An EER of 0.0528 means that at the equal error operating point, only 5.28% of genuine pairs are rejected and 5.28% of impostor pairs are incorrectly accepted. The TAR@FAR=0.01 of 0.8576 indicates that 85.76% of genuine pairs are correctly verified when the false acceptance rate is held at 1%. These results establish a strong baseline for evaluating the anonymisation model’s identity concealment strength.</w:t>
      </w:r>
    </w:p>
    <w:p>
      <w:pPr>
        <w:pStyle w:val="Heading1"/>
      </w:pPr>
      <w:r>
        <w:t>3. Methodology</w:t>
      </w:r>
    </w:p>
    <w:p>
      <w:pPr>
        <w:pStyle w:val="Heading2"/>
      </w:pPr>
      <w:r>
        <w:t>3.1 System Architecture</w:t>
      </w:r>
    </w:p>
    <w:p>
      <w:r>
        <w:t>The overall system follows a three-stage pipeline: (1) the anonymisation model transforms an input face image to remove identity while preserving expression, (2) the expression recognition model classifies the emotion in the anonymised image, and (3) the face recognition model evaluates whether the original identity can still be recovered. The face recognition model serves as both a standalone classifier and a privacy evaluation tool.</w:t>
      </w:r>
    </w:p>
    <w:p>
      <w:pPr>
        <w:pStyle w:val="Heading2"/>
      </w:pPr>
      <w:r>
        <w:t>3.2 Face Recognition Model (Student A)</w:t>
      </w:r>
    </w:p>
    <w:p>
      <w:r>
        <w:rPr>
          <w:b/>
        </w:rPr>
        <w:t xml:space="preserve">Architecture: </w:t>
      </w:r>
      <w:r>
        <w:t>The face recognition model uses a ResNet-50 backbone pretrained on ImageNet, followed by a fully connected embedding layer (2048 → 512 dimensions) with Batch Normalisation. The output is an L2-normalised 512-dimensional face embedding. During training, an ArcFace classification head applies additive angular margin to the cosine similarity between embeddings and class prototypes, producing highly discriminative features.</w:t>
      </w:r>
    </w:p>
    <w:p>
      <w:r>
        <w:rPr>
          <w:b/>
        </w:rPr>
        <w:t xml:space="preserve">Training Strategy: </w:t>
      </w:r>
      <w:r>
        <w:t>Based on our preliminary experiments, we adopt a two-phase training approach. Phase 1 (Warmup, epochs 1–5) uses standard Cross-Entropy loss to establish a good initial embedding space. Phase 2 (Fine-tuning, epochs 6–30) switches to ArcFace loss (scale=32, margin=0.3) for discriminative feature learning. We use differential learning rates: 0.0001 for the pretrained backbone and 0.001 for the new embedding and classification heads. AdamW optimiser with weight decay of 5e-4 and cosine learning rate scheduling are employed.</w:t>
      </w:r>
    </w:p>
    <w:p>
      <w:r>
        <w:rPr>
          <w:b/>
        </w:rPr>
        <w:t xml:space="preserve">Justification: </w:t>
      </w:r>
      <w:r>
        <w:t>We chose ResNet-50 for its strong representation learning capability and wide adoption in face recognition research [2]. ArcFace loss was selected because it directly optimises the angular discriminability of embeddings, which is superior to softmax Cross-Entropy for face recognition tasks [1]. The two-phase training strategy addresses the convergence difficulty that arises when ArcFace margin is applied from the beginning to a randomly initialised head. Label smoothing (0.1) is used to prevent overconfident predictions and improve generalisation.</w:t>
      </w:r>
    </w:p>
    <w:p>
      <w:r>
        <w:rPr>
          <w:b/>
        </w:rPr>
        <w:t>Table 4: Face Recognition Model Configuration</w:t>
      </w:r>
    </w:p>
    <w:tbl>
      <w:tblPr>
        <w:tblStyle w:val="TableGrid"/>
        <w:tblW w:type="auto" w:w="0"/>
        <w:jc w:val="center"/>
        <w:tblLook w:firstColumn="1" w:firstRow="1" w:lastColumn="0" w:lastRow="0" w:noHBand="0" w:noVBand="1" w:val="04A0"/>
      </w:tblPr>
      <w:tblGrid>
        <w:gridCol w:w="4680"/>
        <w:gridCol w:w="4680"/>
      </w:tblGrid>
      <w:tr>
        <w:tc>
          <w:tcPr>
            <w:tcW w:type="dxa" w:w="4535"/>
            <w:shd w:fill="2C3E50" w:val="clear"/>
          </w:tcPr>
          <w:p>
            <w:r/>
            <w:r>
              <w:rPr>
                <w:rFonts w:ascii="Arial" w:hAnsi="Arial"/>
                <w:b/>
                <w:color w:val="FFFFFF"/>
                <w:sz w:val="20"/>
              </w:rPr>
              <w:t>Component</w:t>
            </w:r>
          </w:p>
        </w:tc>
        <w:tc>
          <w:tcPr>
            <w:tcW w:type="dxa" w:w="4535"/>
            <w:shd w:fill="2C3E50" w:val="clear"/>
          </w:tcPr>
          <w:p>
            <w:r/>
            <w:r>
              <w:rPr>
                <w:rFonts w:ascii="Arial" w:hAnsi="Arial"/>
                <w:b/>
                <w:color w:val="FFFFFF"/>
                <w:sz w:val="20"/>
              </w:rPr>
              <w:t>Configuration</w:t>
            </w:r>
          </w:p>
        </w:tc>
      </w:tr>
      <w:tr>
        <w:tc>
          <w:tcPr>
            <w:tcW w:type="dxa" w:w="4535"/>
          </w:tcPr>
          <w:p>
            <w:r/>
            <w:r>
              <w:rPr>
                <w:rFonts w:ascii="Arial" w:hAnsi="Arial"/>
                <w:sz w:val="20"/>
              </w:rPr>
              <w:t>Backbone</w:t>
            </w:r>
          </w:p>
        </w:tc>
        <w:tc>
          <w:tcPr>
            <w:tcW w:type="dxa" w:w="4535"/>
          </w:tcPr>
          <w:p>
            <w:r/>
            <w:r>
              <w:rPr>
                <w:rFonts w:ascii="Arial" w:hAnsi="Arial"/>
                <w:sz w:val="20"/>
              </w:rPr>
              <w:t>ResNet-50 (ImageNet V2 pretrained)</w:t>
            </w:r>
          </w:p>
        </w:tc>
      </w:tr>
      <w:tr>
        <w:tc>
          <w:tcPr>
            <w:tcW w:type="dxa" w:w="4535"/>
          </w:tcPr>
          <w:p>
            <w:r/>
            <w:r>
              <w:rPr>
                <w:rFonts w:ascii="Arial" w:hAnsi="Arial"/>
                <w:sz w:val="20"/>
              </w:rPr>
              <w:t>Embedding Dimension</w:t>
            </w:r>
          </w:p>
        </w:tc>
        <w:tc>
          <w:tcPr>
            <w:tcW w:type="dxa" w:w="4535"/>
          </w:tcPr>
          <w:p>
            <w:r/>
            <w:r>
              <w:rPr>
                <w:rFonts w:ascii="Arial" w:hAnsi="Arial"/>
                <w:sz w:val="20"/>
              </w:rPr>
              <w:t>512</w:t>
            </w:r>
          </w:p>
        </w:tc>
      </w:tr>
      <w:tr>
        <w:tc>
          <w:tcPr>
            <w:tcW w:type="dxa" w:w="4535"/>
          </w:tcPr>
          <w:p>
            <w:r/>
            <w:r>
              <w:rPr>
                <w:rFonts w:ascii="Arial" w:hAnsi="Arial"/>
                <w:sz w:val="20"/>
              </w:rPr>
              <w:t>Loss Function</w:t>
            </w:r>
          </w:p>
        </w:tc>
        <w:tc>
          <w:tcPr>
            <w:tcW w:type="dxa" w:w="4535"/>
          </w:tcPr>
          <w:p>
            <w:r/>
            <w:r>
              <w:rPr>
                <w:rFonts w:ascii="Arial" w:hAnsi="Arial"/>
                <w:sz w:val="20"/>
              </w:rPr>
              <w:t>ArcFace (s=32, m=0.3) with CE warmup</w:t>
            </w:r>
          </w:p>
        </w:tc>
      </w:tr>
      <w:tr>
        <w:tc>
          <w:tcPr>
            <w:tcW w:type="dxa" w:w="4535"/>
          </w:tcPr>
          <w:p>
            <w:r/>
            <w:r>
              <w:rPr>
                <w:rFonts w:ascii="Arial" w:hAnsi="Arial"/>
                <w:sz w:val="20"/>
              </w:rPr>
              <w:t>Input Size</w:t>
            </w:r>
          </w:p>
        </w:tc>
        <w:tc>
          <w:tcPr>
            <w:tcW w:type="dxa" w:w="4535"/>
          </w:tcPr>
          <w:p>
            <w:r/>
            <w:r>
              <w:rPr>
                <w:rFonts w:ascii="Arial" w:hAnsi="Arial"/>
                <w:sz w:val="20"/>
              </w:rPr>
              <w:t>160 × 160 pixels</w:t>
            </w:r>
          </w:p>
        </w:tc>
      </w:tr>
      <w:tr>
        <w:tc>
          <w:tcPr>
            <w:tcW w:type="dxa" w:w="4535"/>
          </w:tcPr>
          <w:p>
            <w:r/>
            <w:r>
              <w:rPr>
                <w:rFonts w:ascii="Arial" w:hAnsi="Arial"/>
                <w:sz w:val="20"/>
              </w:rPr>
              <w:t>Optimiser</w:t>
            </w:r>
          </w:p>
        </w:tc>
        <w:tc>
          <w:tcPr>
            <w:tcW w:type="dxa" w:w="4535"/>
          </w:tcPr>
          <w:p>
            <w:r/>
            <w:r>
              <w:rPr>
                <w:rFonts w:ascii="Arial" w:hAnsi="Arial"/>
                <w:sz w:val="20"/>
              </w:rPr>
              <w:t>AdamW (lr=1e-3 head, 1e-4 backbone)</w:t>
            </w:r>
          </w:p>
        </w:tc>
      </w:tr>
      <w:tr>
        <w:tc>
          <w:tcPr>
            <w:tcW w:type="dxa" w:w="4535"/>
          </w:tcPr>
          <w:p>
            <w:r/>
            <w:r>
              <w:rPr>
                <w:rFonts w:ascii="Arial" w:hAnsi="Arial"/>
                <w:sz w:val="20"/>
              </w:rPr>
              <w:t>Total Parameters</w:t>
            </w:r>
          </w:p>
        </w:tc>
        <w:tc>
          <w:tcPr>
            <w:tcW w:type="dxa" w:w="4535"/>
          </w:tcPr>
          <w:p>
            <w:r/>
            <w:r>
              <w:rPr>
                <w:rFonts w:ascii="Arial" w:hAnsi="Arial"/>
                <w:sz w:val="20"/>
              </w:rPr>
              <w:t>24.6 million</w:t>
            </w:r>
          </w:p>
        </w:tc>
      </w:tr>
      <w:tr>
        <w:tc>
          <w:tcPr>
            <w:tcW w:type="dxa" w:w="4535"/>
          </w:tcPr>
          <w:p>
            <w:r/>
            <w:r>
              <w:rPr>
                <w:rFonts w:ascii="Arial" w:hAnsi="Arial"/>
                <w:sz w:val="20"/>
              </w:rPr>
              <w:t>Training Epochs</w:t>
            </w:r>
          </w:p>
        </w:tc>
        <w:tc>
          <w:tcPr>
            <w:tcW w:type="dxa" w:w="4535"/>
          </w:tcPr>
          <w:p>
            <w:r/>
            <w:r>
              <w:rPr>
                <w:rFonts w:ascii="Arial" w:hAnsi="Arial"/>
                <w:sz w:val="20"/>
              </w:rPr>
              <w:t>30 (5 CE warmup + 25 ArcFace)</w:t>
            </w:r>
          </w:p>
        </w:tc>
      </w:tr>
      <w:tr>
        <w:tc>
          <w:tcPr>
            <w:tcW w:type="dxa" w:w="4535"/>
          </w:tcPr>
          <w:p>
            <w:r/>
            <w:r>
              <w:rPr>
                <w:rFonts w:ascii="Arial" w:hAnsi="Arial"/>
                <w:sz w:val="20"/>
              </w:rPr>
              <w:t>Data Augmentation</w:t>
            </w:r>
          </w:p>
        </w:tc>
        <w:tc>
          <w:tcPr>
            <w:tcW w:type="dxa" w:w="4535"/>
          </w:tcPr>
          <w:p>
            <w:r/>
            <w:r>
              <w:rPr>
                <w:rFonts w:ascii="Arial" w:hAnsi="Arial"/>
                <w:sz w:val="20"/>
              </w:rPr>
              <w:t>Random flip, rotation (±10°), colour jitter</w:t>
            </w:r>
          </w:p>
        </w:tc>
      </w:tr>
    </w:tbl>
    <w:p/>
    <w:p>
      <w:pPr>
        <w:pStyle w:val="Heading2"/>
      </w:pPr>
      <w:r>
        <w:t>3.3 Face Anonymisation Model (Student B)</w:t>
      </w:r>
    </w:p>
    <w:p>
      <w:r>
        <w:t>The anonymisation model will transform face images to conceal identity while preserving expression. Potential approaches include GAN-based face de-identification (e.g., DeepPrivacy [4], CIAGAN [6]), diffusion-based methods, or k-Same-Net approaches. The model will be trained on CelebA-HQ and evaluated by measuring how much identity information is removed (using Student A’s model) while retaining expression information (using Student C’s model).</w:t>
      </w:r>
    </w:p>
    <w:p>
      <w:pPr>
        <w:pStyle w:val="Heading2"/>
      </w:pPr>
      <w:r>
        <w:t>3.4 Expression Recognition Model (Student C)</w:t>
      </w:r>
    </w:p>
    <w:p>
      <w:r>
        <w:t>The expression recognition model will classify facial expressions into seven standard categories (angry, disgust, fear, happy, sad, surprise, neutral) using the FER-2013 dataset [5]. A CNN-based architecture will be used, potentially leveraging transfer learning from ImageNet. The model must maintain high accuracy when applied to anonymised images, which may exhibit visual artefacts or altered appearance from the anonymisation process.</w:t>
      </w:r>
    </w:p>
    <w:p>
      <w:pPr>
        <w:pStyle w:val="Heading1"/>
      </w:pPr>
      <w:r>
        <w:t>4. Evaluation Plan</w:t>
      </w:r>
    </w:p>
    <w:p>
      <w:r>
        <w:t>The evaluation framework measures two competing objectives: privacy protection (identity concealment) and utility preservation (expression accuracy).</w:t>
      </w:r>
    </w:p>
    <w:p>
      <w:r>
        <w:rPr>
          <w:b/>
        </w:rPr>
        <w:t>Table 5: Evaluation Metrics</w:t>
      </w:r>
    </w:p>
    <w:tbl>
      <w:tblPr>
        <w:tblStyle w:val="TableGrid"/>
        <w:tblW w:type="auto" w:w="0"/>
        <w:jc w:val="center"/>
        <w:tblLook w:firstColumn="1" w:firstRow="1" w:lastColumn="0" w:lastRow="0" w:noHBand="0" w:noVBand="1" w:val="04A0"/>
      </w:tblPr>
      <w:tblGrid>
        <w:gridCol w:w="3120"/>
        <w:gridCol w:w="3120"/>
        <w:gridCol w:w="3120"/>
      </w:tblGrid>
      <w:tr>
        <w:tc>
          <w:tcPr>
            <w:tcW w:type="dxa" w:w="1701"/>
            <w:shd w:fill="2C3E50" w:val="clear"/>
          </w:tcPr>
          <w:p>
            <w:r/>
            <w:r>
              <w:rPr>
                <w:rFonts w:ascii="Arial" w:hAnsi="Arial"/>
                <w:b/>
                <w:color w:val="FFFFFF"/>
                <w:sz w:val="20"/>
              </w:rPr>
              <w:t>Category</w:t>
            </w:r>
          </w:p>
        </w:tc>
        <w:tc>
          <w:tcPr>
            <w:tcW w:type="dxa" w:w="3402"/>
            <w:shd w:fill="2C3E50" w:val="clear"/>
          </w:tcPr>
          <w:p>
            <w:r/>
            <w:r>
              <w:rPr>
                <w:rFonts w:ascii="Arial" w:hAnsi="Arial"/>
                <w:b/>
                <w:color w:val="FFFFFF"/>
                <w:sz w:val="20"/>
              </w:rPr>
              <w:t>Metric</w:t>
            </w:r>
          </w:p>
        </w:tc>
        <w:tc>
          <w:tcPr>
            <w:tcW w:type="dxa" w:w="3969"/>
            <w:shd w:fill="2C3E50" w:val="clear"/>
          </w:tcPr>
          <w:p>
            <w:r/>
            <w:r>
              <w:rPr>
                <w:rFonts w:ascii="Arial" w:hAnsi="Arial"/>
                <w:b/>
                <w:color w:val="FFFFFF"/>
                <w:sz w:val="20"/>
              </w:rPr>
              <w:t>Target</w:t>
            </w:r>
          </w:p>
        </w:tc>
      </w:tr>
      <w:tr>
        <w:tc>
          <w:tcPr>
            <w:tcW w:type="dxa" w:w="1701"/>
          </w:tcPr>
          <w:p>
            <w:r/>
            <w:r>
              <w:rPr>
                <w:rFonts w:ascii="Arial" w:hAnsi="Arial"/>
                <w:sz w:val="20"/>
              </w:rPr>
              <w:t>Privacy</w:t>
            </w:r>
          </w:p>
        </w:tc>
        <w:tc>
          <w:tcPr>
            <w:tcW w:type="dxa" w:w="3402"/>
          </w:tcPr>
          <w:p>
            <w:r/>
            <w:r>
              <w:rPr>
                <w:rFonts w:ascii="Arial" w:hAnsi="Arial"/>
                <w:sz w:val="20"/>
              </w:rPr>
              <w:t>ID accuracy on original images</w:t>
            </w:r>
          </w:p>
        </w:tc>
        <w:tc>
          <w:tcPr>
            <w:tcW w:type="dxa" w:w="3969"/>
          </w:tcPr>
          <w:p>
            <w:r/>
            <w:r>
              <w:rPr>
                <w:rFonts w:ascii="Arial" w:hAnsi="Arial"/>
                <w:sz w:val="20"/>
              </w:rPr>
              <w:t>&gt;90% (achieved: 93.46%)</w:t>
            </w:r>
          </w:p>
        </w:tc>
      </w:tr>
      <w:tr>
        <w:tc>
          <w:tcPr>
            <w:tcW w:type="dxa" w:w="1701"/>
          </w:tcPr>
          <w:p>
            <w:r/>
            <w:r>
              <w:rPr>
                <w:rFonts w:ascii="Arial" w:hAnsi="Arial"/>
                <w:sz w:val="20"/>
              </w:rPr>
              <w:t>Privacy</w:t>
            </w:r>
          </w:p>
        </w:tc>
        <w:tc>
          <w:tcPr>
            <w:tcW w:type="dxa" w:w="3402"/>
          </w:tcPr>
          <w:p>
            <w:r/>
            <w:r>
              <w:rPr>
                <w:rFonts w:ascii="Arial" w:hAnsi="Arial"/>
                <w:sz w:val="20"/>
              </w:rPr>
              <w:t>ID accuracy on anonymised images</w:t>
            </w:r>
          </w:p>
        </w:tc>
        <w:tc>
          <w:tcPr>
            <w:tcW w:type="dxa" w:w="3969"/>
          </w:tcPr>
          <w:p>
            <w:r/>
            <w:r>
              <w:rPr>
                <w:rFonts w:ascii="Arial" w:hAnsi="Arial"/>
                <w:sz w:val="20"/>
              </w:rPr>
              <w:t>Near random chance (~1%)</w:t>
            </w:r>
          </w:p>
        </w:tc>
      </w:tr>
      <w:tr>
        <w:tc>
          <w:tcPr>
            <w:tcW w:type="dxa" w:w="1701"/>
          </w:tcPr>
          <w:p>
            <w:r/>
            <w:r>
              <w:rPr>
                <w:rFonts w:ascii="Arial" w:hAnsi="Arial"/>
                <w:sz w:val="20"/>
              </w:rPr>
              <w:t>Privacy</w:t>
            </w:r>
          </w:p>
        </w:tc>
        <w:tc>
          <w:tcPr>
            <w:tcW w:type="dxa" w:w="3402"/>
          </w:tcPr>
          <w:p>
            <w:r/>
            <w:r>
              <w:rPr>
                <w:rFonts w:ascii="Arial" w:hAnsi="Arial"/>
                <w:sz w:val="20"/>
              </w:rPr>
              <w:t>EER (Equal Error Rate)</w:t>
            </w:r>
          </w:p>
        </w:tc>
        <w:tc>
          <w:tcPr>
            <w:tcW w:type="dxa" w:w="3969"/>
          </w:tcPr>
          <w:p>
            <w:r/>
            <w:r>
              <w:rPr>
                <w:rFonts w:ascii="Arial" w:hAnsi="Arial"/>
                <w:sz w:val="20"/>
              </w:rPr>
              <w:t>High EER on anonymised</w:t>
            </w:r>
          </w:p>
        </w:tc>
      </w:tr>
      <w:tr>
        <w:tc>
          <w:tcPr>
            <w:tcW w:type="dxa" w:w="1701"/>
          </w:tcPr>
          <w:p>
            <w:r/>
            <w:r>
              <w:rPr>
                <w:rFonts w:ascii="Arial" w:hAnsi="Arial"/>
                <w:sz w:val="20"/>
              </w:rPr>
              <w:t>Utility</w:t>
            </w:r>
          </w:p>
        </w:tc>
        <w:tc>
          <w:tcPr>
            <w:tcW w:type="dxa" w:w="3402"/>
          </w:tcPr>
          <w:p>
            <w:r/>
            <w:r>
              <w:rPr>
                <w:rFonts w:ascii="Arial" w:hAnsi="Arial"/>
                <w:sz w:val="20"/>
              </w:rPr>
              <w:t>Expression consistency rate</w:t>
            </w:r>
          </w:p>
        </w:tc>
        <w:tc>
          <w:tcPr>
            <w:tcW w:type="dxa" w:w="3969"/>
          </w:tcPr>
          <w:p>
            <w:r/>
            <w:r>
              <w:rPr>
                <w:rFonts w:ascii="Arial" w:hAnsi="Arial"/>
                <w:sz w:val="20"/>
              </w:rPr>
              <w:t>&gt;80%</w:t>
            </w:r>
          </w:p>
        </w:tc>
      </w:tr>
      <w:tr>
        <w:tc>
          <w:tcPr>
            <w:tcW w:type="dxa" w:w="1701"/>
          </w:tcPr>
          <w:p>
            <w:r/>
            <w:r>
              <w:rPr>
                <w:rFonts w:ascii="Arial" w:hAnsi="Arial"/>
                <w:sz w:val="20"/>
              </w:rPr>
              <w:t>Utility</w:t>
            </w:r>
          </w:p>
        </w:tc>
        <w:tc>
          <w:tcPr>
            <w:tcW w:type="dxa" w:w="3402"/>
          </w:tcPr>
          <w:p>
            <w:r/>
            <w:r>
              <w:rPr>
                <w:rFonts w:ascii="Arial" w:hAnsi="Arial"/>
                <w:sz w:val="20"/>
              </w:rPr>
              <w:t>Expression accuracy on anonymised</w:t>
            </w:r>
          </w:p>
        </w:tc>
        <w:tc>
          <w:tcPr>
            <w:tcW w:type="dxa" w:w="3969"/>
          </w:tcPr>
          <w:p>
            <w:r/>
            <w:r>
              <w:rPr>
                <w:rFonts w:ascii="Arial" w:hAnsi="Arial"/>
                <w:sz w:val="20"/>
              </w:rPr>
              <w:t>Close to original accuracy</w:t>
            </w:r>
          </w:p>
        </w:tc>
      </w:tr>
    </w:tbl>
    <w:p/>
    <w:p>
      <w:r>
        <w:t>The privacy protection rate is defined as (100% − anonymised recognition accuracy). An ideal anonymisation model would reduce the face recognition accuracy from &gt;90% to near random chance (approximately 0.95% for 105 identities), indicating that the original identity is effectively concealed.</w:t>
      </w:r>
    </w:p>
    <w:p>
      <w:pPr>
        <w:pStyle w:val="Heading1"/>
      </w:pPr>
      <w:r>
        <w:t>5. Initial Design and Implementation Plan</w:t>
      </w:r>
    </w:p>
    <w:p>
      <w:r>
        <w:t>The project follows a modular design where each component can be developed independently and later integrated for end-to-end evaluation. Student A’s face recognition model has been fully implemented and trained on all 105 identities, achieving 93.46% Top-1 identification accuracy and an EER of 0.0528. The implementation uses PyTorch and provides a clean API (FaceRecognizer class) for other team members to evaluate anonymisation quality programmatically. The model is now ready for integration with the anonymisation pipeline.</w:t>
      </w:r>
    </w:p>
    <w:p>
      <w:r>
        <w:rPr>
          <w:b/>
        </w:rPr>
        <w:t>Table 6: Implementation Timeline</w:t>
      </w:r>
    </w:p>
    <w:tbl>
      <w:tblPr>
        <w:tblStyle w:val="TableGrid"/>
        <w:tblW w:type="auto" w:w="0"/>
        <w:jc w:val="center"/>
        <w:tblLook w:firstColumn="1" w:firstRow="1" w:lastColumn="0" w:lastRow="0" w:noHBand="0" w:noVBand="1" w:val="04A0"/>
      </w:tblPr>
      <w:tblGrid>
        <w:gridCol w:w="3120"/>
        <w:gridCol w:w="3120"/>
        <w:gridCol w:w="3120"/>
      </w:tblGrid>
      <w:tr>
        <w:tc>
          <w:tcPr>
            <w:tcW w:type="dxa" w:w="1701"/>
            <w:shd w:fill="2C3E50" w:val="clear"/>
          </w:tcPr>
          <w:p>
            <w:r/>
            <w:r>
              <w:rPr>
                <w:rFonts w:ascii="Arial" w:hAnsi="Arial"/>
                <w:b/>
                <w:color w:val="FFFFFF"/>
                <w:sz w:val="20"/>
              </w:rPr>
              <w:t>Period</w:t>
            </w:r>
          </w:p>
        </w:tc>
        <w:tc>
          <w:tcPr>
            <w:tcW w:type="dxa" w:w="5669"/>
            <w:shd w:fill="2C3E50" w:val="clear"/>
          </w:tcPr>
          <w:p>
            <w:r/>
            <w:r>
              <w:rPr>
                <w:rFonts w:ascii="Arial" w:hAnsi="Arial"/>
                <w:b/>
                <w:color w:val="FFFFFF"/>
                <w:sz w:val="20"/>
              </w:rPr>
              <w:t>Task</w:t>
            </w:r>
          </w:p>
        </w:tc>
        <w:tc>
          <w:tcPr>
            <w:tcW w:type="dxa" w:w="1701"/>
            <w:shd w:fill="2C3E50" w:val="clear"/>
          </w:tcPr>
          <w:p>
            <w:r/>
            <w:r>
              <w:rPr>
                <w:rFonts w:ascii="Arial" w:hAnsi="Arial"/>
                <w:b/>
                <w:color w:val="FFFFFF"/>
                <w:sz w:val="20"/>
              </w:rPr>
              <w:t>Responsible</w:t>
            </w:r>
          </w:p>
        </w:tc>
      </w:tr>
      <w:tr>
        <w:tc>
          <w:tcPr>
            <w:tcW w:type="dxa" w:w="1701"/>
          </w:tcPr>
          <w:p>
            <w:r/>
            <w:r>
              <w:rPr>
                <w:rFonts w:ascii="Arial" w:hAnsi="Arial"/>
                <w:sz w:val="20"/>
              </w:rPr>
              <w:t>Week 1–3</w:t>
            </w:r>
          </w:p>
        </w:tc>
        <w:tc>
          <w:tcPr>
            <w:tcW w:type="dxa" w:w="5669"/>
          </w:tcPr>
          <w:p>
            <w:r/>
            <w:r>
              <w:rPr>
                <w:rFonts w:ascii="Arial" w:hAnsi="Arial"/>
                <w:sz w:val="20"/>
              </w:rPr>
              <w:t>Individual model development and preliminary training</w:t>
            </w:r>
          </w:p>
        </w:tc>
        <w:tc>
          <w:tcPr>
            <w:tcW w:type="dxa" w:w="1701"/>
          </w:tcPr>
          <w:p>
            <w:r/>
            <w:r>
              <w:rPr>
                <w:rFonts w:ascii="Arial" w:hAnsi="Arial"/>
                <w:sz w:val="20"/>
              </w:rPr>
              <w:t>A, B, C</w:t>
            </w:r>
          </w:p>
        </w:tc>
      </w:tr>
      <w:tr>
        <w:tc>
          <w:tcPr>
            <w:tcW w:type="dxa" w:w="1701"/>
          </w:tcPr>
          <w:p>
            <w:r/>
            <w:r>
              <w:rPr>
                <w:rFonts w:ascii="Arial" w:hAnsi="Arial"/>
                <w:sz w:val="20"/>
              </w:rPr>
              <w:t>Week 4–5</w:t>
            </w:r>
          </w:p>
        </w:tc>
        <w:tc>
          <w:tcPr>
            <w:tcW w:type="dxa" w:w="5669"/>
          </w:tcPr>
          <w:p>
            <w:r/>
            <w:r>
              <w:rPr>
                <w:rFonts w:ascii="Arial" w:hAnsi="Arial"/>
                <w:sz w:val="20"/>
              </w:rPr>
              <w:t>Model optimisation and hyperparameter tuning</w:t>
            </w:r>
          </w:p>
        </w:tc>
        <w:tc>
          <w:tcPr>
            <w:tcW w:type="dxa" w:w="1701"/>
          </w:tcPr>
          <w:p>
            <w:r/>
            <w:r>
              <w:rPr>
                <w:rFonts w:ascii="Arial" w:hAnsi="Arial"/>
                <w:sz w:val="20"/>
              </w:rPr>
              <w:t>A, B, C</w:t>
            </w:r>
          </w:p>
        </w:tc>
      </w:tr>
      <w:tr>
        <w:tc>
          <w:tcPr>
            <w:tcW w:type="dxa" w:w="1701"/>
          </w:tcPr>
          <w:p>
            <w:r/>
            <w:r>
              <w:rPr>
                <w:rFonts w:ascii="Arial" w:hAnsi="Arial"/>
                <w:sz w:val="20"/>
              </w:rPr>
              <w:t>Week 6</w:t>
            </w:r>
          </w:p>
        </w:tc>
        <w:tc>
          <w:tcPr>
            <w:tcW w:type="dxa" w:w="5669"/>
          </w:tcPr>
          <w:p>
            <w:r/>
            <w:r>
              <w:rPr>
                <w:rFonts w:ascii="Arial" w:hAnsi="Arial"/>
                <w:sz w:val="20"/>
              </w:rPr>
              <w:t>Integration: connect anonymisation output to recognition models</w:t>
            </w:r>
          </w:p>
        </w:tc>
        <w:tc>
          <w:tcPr>
            <w:tcW w:type="dxa" w:w="1701"/>
          </w:tcPr>
          <w:p>
            <w:r/>
            <w:r>
              <w:rPr>
                <w:rFonts w:ascii="Arial" w:hAnsi="Arial"/>
                <w:sz w:val="20"/>
              </w:rPr>
              <w:t>A, B, C</w:t>
            </w:r>
          </w:p>
        </w:tc>
      </w:tr>
      <w:tr>
        <w:tc>
          <w:tcPr>
            <w:tcW w:type="dxa" w:w="1701"/>
          </w:tcPr>
          <w:p>
            <w:r/>
            <w:r>
              <w:rPr>
                <w:rFonts w:ascii="Arial" w:hAnsi="Arial"/>
                <w:sz w:val="20"/>
              </w:rPr>
              <w:t>Week 7</w:t>
            </w:r>
          </w:p>
        </w:tc>
        <w:tc>
          <w:tcPr>
            <w:tcW w:type="dxa" w:w="5669"/>
          </w:tcPr>
          <w:p>
            <w:r/>
            <w:r>
              <w:rPr>
                <w:rFonts w:ascii="Arial" w:hAnsi="Arial"/>
                <w:sz w:val="20"/>
              </w:rPr>
              <w:t>End-to-end evaluation and comparative analysis</w:t>
            </w:r>
          </w:p>
        </w:tc>
        <w:tc>
          <w:tcPr>
            <w:tcW w:type="dxa" w:w="1701"/>
          </w:tcPr>
          <w:p>
            <w:r/>
            <w:r>
              <w:rPr>
                <w:rFonts w:ascii="Arial" w:hAnsi="Arial"/>
                <w:sz w:val="20"/>
              </w:rPr>
              <w:t>A, B, C</w:t>
            </w:r>
          </w:p>
        </w:tc>
      </w:tr>
      <w:tr>
        <w:tc>
          <w:tcPr>
            <w:tcW w:type="dxa" w:w="1701"/>
          </w:tcPr>
          <w:p>
            <w:r/>
            <w:r>
              <w:rPr>
                <w:rFonts w:ascii="Arial" w:hAnsi="Arial"/>
                <w:sz w:val="20"/>
              </w:rPr>
              <w:t>Week 8</w:t>
            </w:r>
          </w:p>
        </w:tc>
        <w:tc>
          <w:tcPr>
            <w:tcW w:type="dxa" w:w="5669"/>
          </w:tcPr>
          <w:p>
            <w:r/>
            <w:r>
              <w:rPr>
                <w:rFonts w:ascii="Arial" w:hAnsi="Arial"/>
                <w:sz w:val="20"/>
              </w:rPr>
              <w:t>Presentation preparation and report writing</w:t>
            </w:r>
          </w:p>
        </w:tc>
        <w:tc>
          <w:tcPr>
            <w:tcW w:type="dxa" w:w="1701"/>
          </w:tcPr>
          <w:p>
            <w:r/>
            <w:r>
              <w:rPr>
                <w:rFonts w:ascii="Arial" w:hAnsi="Arial"/>
                <w:sz w:val="20"/>
              </w:rPr>
              <w:t>A, B, C</w:t>
            </w:r>
          </w:p>
        </w:tc>
      </w:tr>
    </w:tbl>
    <w:p/>
    <w:p>
      <w:pPr>
        <w:pStyle w:val="Heading1"/>
      </w:pPr>
      <w:r>
        <w:t>6. References</w:t>
      </w:r>
    </w:p>
    <w:p>
      <w:pPr>
        <w:spacing w:after="80"/>
      </w:pPr>
      <w:r>
        <w:rPr>
          <w:sz w:val="20"/>
        </w:rPr>
        <w:t>[1] J. Deng, J. Guo, N. Xue, and S. Zafeiriou, “ArcFace: Additive Angular Margin Loss for Deep Face Recognition,” in Proc. CVPR, 2019.</w:t>
      </w:r>
    </w:p>
    <w:p>
      <w:pPr>
        <w:spacing w:after="80"/>
      </w:pPr>
      <w:r>
        <w:rPr>
          <w:sz w:val="20"/>
        </w:rPr>
        <w:t>[2] K. He, X. Zhang, S. Ren, and J. Sun, “Deep Residual Learning for Image Recognition,” in Proc. CVPR, 2016.</w:t>
      </w:r>
    </w:p>
    <w:p>
      <w:pPr>
        <w:spacing w:after="80"/>
      </w:pPr>
      <w:r>
        <w:rPr>
          <w:sz w:val="20"/>
        </w:rPr>
        <w:t>[3] F. Schroff, D. Kalenichenko, and J. Philbin, “FaceNet: A Unified Embedding for Face Recognition and Clustering,” in Proc. CVPR, 2015.</w:t>
      </w:r>
    </w:p>
    <w:p>
      <w:pPr>
        <w:spacing w:after="80"/>
      </w:pPr>
      <w:r>
        <w:rPr>
          <w:sz w:val="20"/>
        </w:rPr>
        <w:t>[4] H. Hukkelås, R. Mester, and F. Lindseth, “DeepPrivacy: A Generative Adversarial Network for Face Anonymization,” in Proc. ISVC, 2019.</w:t>
      </w:r>
    </w:p>
    <w:p>
      <w:pPr>
        <w:spacing w:after="80"/>
      </w:pPr>
      <w:r>
        <w:rPr>
          <w:sz w:val="20"/>
        </w:rPr>
        <w:t>[5] I. J. Goodfellow et al., “Challenges in Representation Learning: A Report on Three Machine Learning Contests,” in Neural Networks, vol. 64, pp. 59–63, 2015.</w:t>
      </w:r>
    </w:p>
    <w:p>
      <w:pPr>
        <w:spacing w:after="80"/>
      </w:pPr>
      <w:r>
        <w:rPr>
          <w:sz w:val="20"/>
        </w:rPr>
        <w:t>[6] M. Maximov, I. Elezi, and L. Leal-Taixé, “CIAGAN: Conditional Identity Anonymization Generative Adversarial Networks,” in Proc. CVPR, 2020.</w:t>
      </w:r>
    </w:p>
    <w:p>
      <w:pPr>
        <w:pStyle w:val="Heading1"/>
      </w:pPr>
      <w:r>
        <w:t>7. GenAI Usage Disclosure</w:t>
      </w:r>
    </w:p>
    <w:p>
      <w:r>
        <w:t>Generative AI tools were used in the following aspects of this project:</w:t>
      </w:r>
    </w:p>
    <w:p>
      <w:pPr>
        <w:pStyle w:val="ListBullet"/>
      </w:pPr>
      <w:r>
        <w:rPr>
          <w:b/>
        </w:rPr>
        <w:t xml:space="preserve">Code scaffolding: </w:t>
      </w:r>
      <w:r>
        <w:t>AI assistance was used to generate initial boilerplate code for the training pipeline, data loading utilities, and evaluation scripts. All generated code was reviewed, tested, and modified by team members.</w:t>
      </w:r>
    </w:p>
    <w:p>
      <w:pPr>
        <w:pStyle w:val="ListBullet"/>
      </w:pPr>
      <w:r>
        <w:rPr>
          <w:b/>
        </w:rPr>
        <w:t xml:space="preserve">Documentation: </w:t>
      </w:r>
      <w:r>
        <w:t>AI tools assisted in drafting documentation and this proposal. Content was reviewed and edited for accuracy.</w:t>
      </w:r>
    </w:p>
    <w:p>
      <w:pPr>
        <w:pStyle w:val="ListBullet"/>
      </w:pPr>
      <w:r>
        <w:rPr>
          <w:b/>
        </w:rPr>
        <w:t xml:space="preserve">Architecture design: </w:t>
      </w:r>
      <w:r>
        <w:t>The choice of ResNet-50 + ArcFace architecture was informed by academic literature and validated through our own preliminary experiments.</w:t>
      </w:r>
    </w:p>
    <w:p>
      <w:r>
        <w:t>All experimental results, analysis, and conclusions in this proposal are based on actual code execution and real experimental outcomes.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C3E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C3E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C3E5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