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As an organization operating in commerce both in-person and online; Botium Toys must ensure it adheres to the marked policies above as they conduct international transactions involving customer data.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