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Roots Culturally Responsive Agricultural Education Program</w:t>
      </w:r>
    </w:p>
    <w:p>
      <w:pPr>
        <w:pStyle w:val="Heading1"/>
      </w:pPr>
      <w:r>
        <w:t>Grant Narrative, Internal Review Draft</w:t>
      </w:r>
    </w:p>
    <w:p>
      <w:r>
        <w:rPr>
          <w:b/>
        </w:rPr>
        <w:t xml:space="preserve">Prepared for internal review by Dr. Patricia Hawkins. </w:t>
      </w:r>
      <w:r>
        <w:t>This is an internal review copy and is not the foundation submission. Applicant Piedmont County Cooperative Extension. Funder Fieldstone Agricultural Foundation. Request period two years.</w:t>
      </w:r>
    </w:p>
    <w:p>
      <w:pPr>
        <w:pStyle w:val="Heading2"/>
      </w:pPr>
      <w:r>
        <w:t>Program Summary</w:t>
      </w:r>
    </w:p>
    <w:p>
      <w:r>
        <w:t>Deep Roots delivers culturally responsive agricultural education across six small family farms in the Piedmont region. The program pairs drought resistant variety trials with hands on grower workshops and a shared soil health curriculum, grounded in both plant science and the regional growing traditions of the families it serves.</w:t>
      </w:r>
    </w:p>
    <w:p>
      <w:pPr>
        <w:pStyle w:val="Heading2"/>
      </w:pPr>
      <w:r>
        <w:t>Statement of Need</w:t>
      </w:r>
    </w:p>
    <w:p>
      <w:r>
        <w:t>The six participating farms sit on a contested water rights parcel and face severe to extreme drought stress across most of their acreage. Growers need proven low water varieties and a justification package that documents yield and water use so they can plan the next two seasons with confidence.</w:t>
      </w:r>
    </w:p>
    <w:p>
      <w:pPr>
        <w:pStyle w:val="Heading2"/>
      </w:pPr>
      <w:r>
        <w:t>Budget Summary</w:t>
      </w:r>
    </w:p>
    <w:p>
      <w:r>
        <w:t>Year one request 42,300 USD. Year two request 42,600 USD. Two year total request 84,900 USD, which is within the 85,000 USD program cap. The detailed budget spreadsheet on the drive is the authoritative source for every line item.</w:t>
      </w:r>
    </w:p>
    <w:p>
      <w:pPr>
        <w:pStyle w:val="Heading2"/>
      </w:pPr>
      <w:r>
        <w:t>Partners and Evaluation</w:t>
      </w:r>
    </w:p>
    <w:p>
      <w:r>
        <w:t>Program partners contribute matching effort through in kind field support. Evaluation tracks yield per plant, water used per pound, and grower participation across the trial plots, reconciled against the trial plot database each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