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Q2 Campaign Plan</w:t>
      </w:r>
    </w:p>
    <w:p>
      <w:r>
        <w:t>Channel mix: paid search, lifecycle email, partner co-marketing.</w:t>
      </w:r>
    </w:p>
    <w:p>
      <w:r>
        <w:t>Budget owner: Priya Nair. Review cadence: biweekly.</w:t>
      </w:r>
    </w:p>
  </w:body>
</w:document>
</file>