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Roots Narrative — Community Context</w:t>
      </w:r>
    </w:p>
    <w:p>
      <w:r>
        <w:t>Section Draft | Created: October 5, 2026</w:t>
      </w:r>
    </w:p>
    <w:p>
      <w:r>
        <w:t>Location: Narrative Drafts folder</w:t>
      </w:r>
    </w:p>
    <w:p/>
    <w:p>
      <w:pPr>
        <w:pStyle w:val="Heading1"/>
      </w:pPr>
      <w:r>
        <w:t>Community Context</w:t>
      </w:r>
    </w:p>
    <w:p>
      <w:pPr>
        <w:pStyle w:val="Heading2"/>
      </w:pPr>
      <w:r>
        <w:t>I. Demographics</w:t>
      </w:r>
    </w:p>
    <w:p>
      <w:r>
        <w:rPr>
          <w:b w:val="0"/>
          <w:i w:val="0"/>
          <w:sz w:val="22"/>
        </w:rPr>
        <w:t>[PLACEHOLDER] Piedmont County population demographics, racial composition, farm operator statistics from USDA Census of Agriculture. Key data points: 1,247 total farms, 312 Black-operated (25%), median Black farm 28 acres, 71% operators over 55.</w:t>
      </w:r>
    </w:p>
    <w:p>
      <w:pPr>
        <w:pStyle w:val="Heading2"/>
      </w:pPr>
      <w:r>
        <w:t>II. Agricultural Heritage</w:t>
      </w:r>
    </w:p>
    <w:p>
      <w:r>
        <w:rPr>
          <w:b w:val="0"/>
          <w:i w:val="0"/>
          <w:sz w:val="22"/>
        </w:rPr>
        <w:t>[PLACEHOLDER] Historical context of Black farming in Piedmont County — enslavement, sharecropping, independent ownership. Gullah/Geechee cultural connections. Lowcountry foodways and their inland transmission. Traditional knowledge systems including herbal medicine, sweetgrass arts, seed saving traditions.</w:t>
      </w:r>
    </w:p>
    <w:p>
      <w:pPr>
        <w:pStyle w:val="Heading2"/>
      </w:pPr>
      <w:r>
        <w:t>III. Current Challenges</w:t>
      </w:r>
    </w:p>
    <w:p>
      <w:r>
        <w:rPr>
          <w:b w:val="0"/>
          <w:i w:val="0"/>
          <w:sz w:val="22"/>
        </w:rPr>
        <w:t>[PLACEHOLDER] Land loss and heirs' property (8,400 acres lost in 30 years). Water access inequity in eastern county. Soil degradation from conventional agriculture. Extension access gap — Black farmer participation at one-third rate of white counterparts. Three barriers: scheduling, distrust, curriculum mismatch.</w:t>
      </w:r>
    </w:p>
    <w:p>
      <w:pPr>
        <w:pStyle w:val="Heading2"/>
      </w:pPr>
      <w:r>
        <w:t>IV. Community Assets</w:t>
      </w:r>
    </w:p>
    <w:p>
      <w:r>
        <w:rPr>
          <w:b w:val="0"/>
          <w:i w:val="0"/>
          <w:sz w:val="22"/>
        </w:rPr>
        <w:t>[PLACEHOLDER] Elder knowledge keepers (James Thompson, Bernice Wiggins). Institutional support (Dr. Hawkins, Extension office). Young farmer cohort. Partnership network (Eastway Middle School, Durham County Health Dept, NC Ag Lab).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