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Leading for Equity: Beyond the Buzzword - Speaker Remarks (v1 DRAFT)</w:t>
      </w:r>
    </w:p>
    <w:p>
      <w:r>
        <w:rPr>
          <w:b/>
        </w:rPr>
        <w:t>OUTDATED DRAFT - DO NOT USE</w:t>
      </w:r>
    </w:p>
    <w:p>
      <w:r>
        <w:t>Ontario Equity in Education Conference | October 22, 2026</w:t>
      </w:r>
    </w:p>
    <w:p>
      <w:r>
        <w:t>Speaker: Mary Vasquez, Principal, Ridgewood Collegiate Institute</w:t>
      </w:r>
    </w:p>
    <w:p/>
    <w:p>
      <w:pPr>
        <w:pStyle w:val="Heading2"/>
      </w:pPr>
      <w:r>
        <w:t>Opening</w:t>
      </w:r>
    </w:p>
    <w:p>
      <w:r>
        <w:t>Good morning, everyone. I am thrilled to share that at Ridgewood, we have</w:t>
      </w:r>
    </w:p>
    <w:p>
      <w:r>
        <w:t>achieved remarkable progress on our equity journey. Our numbers speak for</w:t>
      </w:r>
    </w:p>
    <w:p>
      <w:r>
        <w:t>themselves, and I am proud to stand before you today.</w:t>
      </w:r>
    </w:p>
    <w:p/>
    <w:p>
      <w:pPr>
        <w:pStyle w:val="Heading2"/>
      </w:pPr>
      <w:r>
        <w:t>Key Achievements</w:t>
      </w:r>
    </w:p>
    <w:p>
      <w:r>
        <w:t>In just 18 months, we have trained 72 percent of our staff in culturally</w:t>
      </w:r>
    </w:p>
    <w:p>
      <w:r>
        <w:t>responsive pedagogy. That is a transformation. We have also reduced our</w:t>
      </w:r>
    </w:p>
    <w:p>
      <w:r>
        <w:t>suspension equity gap by 12 percentage points, proving that systemic change</w:t>
      </w:r>
    </w:p>
    <w:p>
      <w:r>
        <w:t>is not only possible but already happening.</w:t>
      </w:r>
    </w:p>
    <w:p/>
    <w:p>
      <w:r>
        <w:t>Our student voice council is nearly full, and our community partnerships</w:t>
      </w:r>
    </w:p>
    <w:p>
      <w:r>
        <w:t>have tripled since Year 1. These are not aspirations. These are results.</w:t>
      </w:r>
    </w:p>
    <w:p/>
    <w:p>
      <w:pPr>
        <w:pStyle w:val="Heading2"/>
      </w:pPr>
      <w:r>
        <w:t>Call to Action</w:t>
      </w:r>
    </w:p>
    <w:p>
      <w:r>
        <w:t>I challenge every school leader in this room to set bold targets and hold</w:t>
      </w:r>
    </w:p>
    <w:p>
      <w:r>
        <w:t>yourselves accountable. If Ridgewood can do it, so can you. The data proves</w:t>
      </w:r>
    </w:p>
    <w:p>
      <w:r>
        <w:t>that equity-centered leadership delivers outcomes for students.</w:t>
      </w:r>
    </w:p>
    <w:p/>
    <w:p>
      <w:r>
        <w:rPr>
          <w:i/>
        </w:rPr>
        <w:t>REVISION NOTE: Mary flagged this draft as too aggressive. The 72%</w:t>
      </w:r>
    </w:p>
    <w:p>
      <w:r>
        <w:rPr>
          <w:i/>
        </w:rPr>
        <w:t>figure is from the dashboard, not verified. Suspension gap claim needs</w:t>
      </w:r>
    </w:p>
    <w:p>
      <w:r>
        <w:rPr>
          <w:i/>
        </w:rPr>
        <w:t>checking. Do not use this version. Prepare v2 with honest framing.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