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Gulf Coast Ballet</w:t>
      </w:r>
    </w:p>
    <w:p>
      <w:r>
        <w:rPr>
          <w:rFonts w:ascii="Times New Roman" w:hAnsi="Times New Roman"/>
          <w:b/>
          <w:sz w:val="26"/>
        </w:rPr>
        <w:t>Board of Directors, Quarterly Meeting</w:t>
      </w:r>
    </w:p>
    <w:p>
      <w:r>
        <w:rPr>
          <w:rFonts w:ascii="Times New Roman" w:hAnsi="Times New Roman"/>
          <w:b w:val="0"/>
          <w:sz w:val="24"/>
        </w:rPr>
        <w:t>Date: Wednesday, October 7, 2026, 4:00 PM to 6:00 PM</w:t>
      </w:r>
    </w:p>
    <w:p>
      <w:r>
        <w:rPr>
          <w:rFonts w:ascii="Times New Roman" w:hAnsi="Times New Roman"/>
          <w:b w:val="0"/>
          <w:sz w:val="24"/>
        </w:rPr>
        <w:t>Location: Company office, 3201 Allen Parkway, Suite 200, with a remote option for out of town members</w:t>
      </w:r>
    </w:p>
    <w:p>
      <w:r>
        <w:rPr>
          <w:rFonts w:ascii="Times New Roman" w:hAnsi="Times New Roman"/>
          <w:b w:val="0"/>
          <w:sz w:val="24"/>
        </w:rPr>
        <w:t>Chair: Marcus Webb. Staff present: Daniel Brooks, Artistic Director, and Claire Nguyen, Company Manager.</w:t>
      </w:r>
    </w:p>
    <w:p>
      <w:r>
        <w:rPr>
          <w:rFonts w:ascii="Times New Roman" w:hAnsi="Times New Roman"/>
          <w:b/>
          <w:sz w:val="26"/>
        </w:rPr>
        <w:t>1. Call to Order and Approval of Minutes</w:t>
      </w:r>
    </w:p>
    <w:p>
      <w:r>
        <w:rPr>
          <w:rFonts w:ascii="Times New Roman" w:hAnsi="Times New Roman"/>
          <w:b w:val="0"/>
          <w:sz w:val="24"/>
        </w:rPr>
        <w:t>Approve the minutes from the prior quarterly meeting. Confirm a quorum is present.</w:t>
      </w:r>
    </w:p>
    <w:p>
      <w:r>
        <w:rPr>
          <w:rFonts w:ascii="Times New Roman" w:hAnsi="Times New Roman"/>
          <w:b/>
          <w:sz w:val="26"/>
        </w:rPr>
        <w:t>2. Artistic Director Report</w:t>
      </w:r>
    </w:p>
    <w:p>
      <w:r>
        <w:rPr>
          <w:rFonts w:ascii="Times New Roman" w:hAnsi="Times New Roman"/>
          <w:b w:val="0"/>
          <w:sz w:val="24"/>
        </w:rPr>
        <w:t>Update on the season opening of Swan Lake on October 14, 2026, casting of the three renewed principal contracts, and the status of the original work planned for the spring program.</w:t>
      </w:r>
    </w:p>
    <w:p>
      <w:r>
        <w:rPr>
          <w:rFonts w:ascii="Times New Roman" w:hAnsi="Times New Roman"/>
          <w:b/>
          <w:sz w:val="26"/>
        </w:rPr>
        <w:t>3. Finance Review</w:t>
      </w:r>
    </w:p>
    <w:p>
      <w:r>
        <w:rPr>
          <w:rFonts w:ascii="Times New Roman" w:hAnsi="Times New Roman"/>
          <w:b w:val="0"/>
          <w:sz w:val="24"/>
        </w:rPr>
        <w:t>Review of the 6.2 million dollar operating budget against the first quarter of the season. Ticket revenue tracking, the grant restricted ledger, and the studio 3 floor repair now closed at 8,500 dollars.</w:t>
      </w:r>
    </w:p>
    <w:p>
      <w:r>
        <w:rPr>
          <w:rFonts w:ascii="Times New Roman" w:hAnsi="Times New Roman"/>
          <w:b/>
          <w:sz w:val="26"/>
        </w:rPr>
        <w:t>4. Development and Gala</w:t>
      </w:r>
    </w:p>
    <w:p>
      <w:r>
        <w:rPr>
          <w:rFonts w:ascii="Times New Roman" w:hAnsi="Times New Roman"/>
          <w:b w:val="0"/>
          <w:sz w:val="24"/>
        </w:rPr>
        <w:t>Recap of the prior spring gala against the 450,000 dollar target. Early planning calendar for the next spring gala, chaired again by Patricia Hargrove. Major gift pipeline summary, names held to the development committee only.</w:t>
      </w:r>
    </w:p>
    <w:p>
      <w:r>
        <w:rPr>
          <w:rFonts w:ascii="Times New Roman" w:hAnsi="Times New Roman"/>
          <w:b/>
          <w:sz w:val="26"/>
        </w:rPr>
        <w:t>5. Facilities and Operations</w:t>
      </w:r>
    </w:p>
    <w:p>
      <w:r>
        <w:rPr>
          <w:rFonts w:ascii="Times New Roman" w:hAnsi="Times New Roman"/>
          <w:b w:val="0"/>
          <w:sz w:val="24"/>
        </w:rPr>
        <w:t>Shared use schedule with Bayou City Opera at the performing arts center. Summer intensive enrollment summary, forty spots at 2,800 dollars.</w:t>
      </w:r>
    </w:p>
    <w:p>
      <w:r>
        <w:rPr>
          <w:rFonts w:ascii="Times New Roman" w:hAnsi="Times New Roman"/>
          <w:b/>
          <w:sz w:val="26"/>
        </w:rPr>
        <w:t>6. New Business and Adjournment</w:t>
      </w:r>
    </w:p>
    <w:p>
      <w:r>
        <w:rPr>
          <w:rFonts w:ascii="Times New Roman" w:hAnsi="Times New Roman"/>
          <w:b w:val="0"/>
          <w:sz w:val="24"/>
        </w:rPr>
        <w:t>Open items from members. Confirm the next quarterly date and adjourn.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