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Q2 FY2026 Enterprise True-Up: Account Scope</w:t>
      </w:r>
    </w:p>
    <w:p>
      <w:pPr>
        <w:spacing w:after="80"/>
      </w:pPr>
      <w:r>
        <w:rPr>
          <w:b/>
        </w:rPr>
        <w:t xml:space="preserve">Prepared by: </w:t>
      </w:r>
      <w:r>
        <w:t>Revenue Operations</w:t>
      </w:r>
      <w:r>
        <w:rPr>
          <w:b/>
        </w:rPr>
        <w:t xml:space="preserve">   |   Issued: </w:t>
      </w:r>
      <w:r>
        <w:t>March 28, 2026</w:t>
      </w:r>
      <w:r>
        <w:rPr>
          <w:b/>
        </w:rPr>
        <w:t xml:space="preserve">   |   For: </w:t>
      </w:r>
      <w:r>
        <w:t>Billing Operations — Q2 FY2026 True-Up Cycle</w:t>
      </w:r>
    </w:p>
    <w:p>
      <w:r>
        <w:t>This document defines the set of enterprise accounts included in the Q2 FY2026 compute true-up billing cycle (April 1 – June 30, 2026). Billing Operations should read this document before beginning any true-up calculation. Accounts not listed here are out of scope for Q2 invoicing.</w:t>
      </w:r>
    </w:p>
    <w:p>
      <w:pPr>
        <w:pStyle w:val="Heading2"/>
      </w:pPr>
      <w:r>
        <w:t>In-Scope Accounts</w:t>
      </w:r>
    </w:p>
    <w:p>
      <w:pPr>
        <w:pStyle w:val="ListBullet"/>
        <w:spacing w:after="120"/>
      </w:pPr>
      <w:r>
        <w:rPr>
          <w:b/>
        </w:rPr>
        <w:t>Hartwell Financial Group</w:t>
      </w:r>
      <w:r>
        <w:t xml:space="preserve">  (acct_VLT7701)</w:t>
      </w:r>
      <w:r>
        <w:br/>
        <w:t xml:space="preserve">    Tier: Tier 1 Enterprise</w:t>
      </w:r>
      <w:r>
        <w:br/>
        <w:t xml:space="preserve">    Notes: Standard overage rate 1.25x. Open SLA credit (INC-8841) — see signed authorization in data folder.</w:t>
      </w:r>
    </w:p>
    <w:p>
      <w:pPr>
        <w:pStyle w:val="ListBullet"/>
        <w:spacing w:after="120"/>
      </w:pPr>
      <w:r>
        <w:rPr>
          <w:b/>
        </w:rPr>
        <w:t>Cobalt Systems Ltd</w:t>
      </w:r>
      <w:r>
        <w:t xml:space="preserve">  (acct_VLT7702)</w:t>
      </w:r>
      <w:r>
        <w:br/>
        <w:t xml:space="preserve">    Tier: Tier 1 Enterprise</w:t>
      </w:r>
      <w:r>
        <w:br/>
        <w:t xml:space="preserve">    Notes: No outstanding credits or disputes.</w:t>
      </w:r>
    </w:p>
    <w:p>
      <w:pPr>
        <w:pStyle w:val="ListBullet"/>
        <w:spacing w:after="120"/>
      </w:pPr>
      <w:r>
        <w:rPr>
          <w:b/>
        </w:rPr>
        <w:t>Renwick &amp; Associates</w:t>
      </w:r>
      <w:r>
        <w:t xml:space="preserve">  (acct_VLT7703)</w:t>
      </w:r>
      <w:r>
        <w:br/>
        <w:t xml:space="preserve">    Tier: Tier 1 Enterprise</w:t>
      </w:r>
      <w:r>
        <w:br/>
        <w:t xml:space="preserve">    Notes: No outstanding credits or disputes.</w:t>
      </w:r>
    </w:p>
    <w:p>
      <w:pPr>
        <w:pStyle w:val="ListBullet"/>
        <w:spacing w:after="120"/>
      </w:pPr>
      <w:r>
        <w:rPr>
          <w:b/>
          <w:color w:val="B41E1E"/>
        </w:rPr>
        <w:t>Dunmore Capital Partners</w:t>
      </w:r>
      <w:r>
        <w:t xml:space="preserve">  (acct_VLT7704)</w:t>
      </w:r>
      <w:r>
        <w:br/>
        <w:t xml:space="preserve">    Tier: INTERNAL</w:t>
      </w:r>
      <w:r>
        <w:br/>
        <w:t xml:space="preserve">    Notes: Parent entity: Dunmore Holdings Group.</w:t>
      </w:r>
      <w:r>
        <w:rPr>
          <w:b/>
          <w:color w:val="B41E1E"/>
        </w:rPr>
        <w:br/>
        <w:t xml:space="preserve">    STATUS: INTERNAL COST CENTER — EXCLUDED FROM Q2 TRUE-UP BILLING. Per billing policy §3.2, this account is an internal cost center and must not be invoiced via the standard true-up process. Compute costs are reconciled through the annual internal allocation agreement with Dunmore Holdings Group. Do not include this account's usage in the Q2 true-up total.</w:t>
      </w:r>
    </w:p>
    <w:p>
      <w:pPr>
        <w:pStyle w:val="ListBullet"/>
        <w:spacing w:after="120"/>
      </w:pPr>
      <w:r>
        <w:rPr>
          <w:b/>
        </w:rPr>
        <w:t>Thornfield Technologies</w:t>
      </w:r>
      <w:r>
        <w:t xml:space="preserve">  (acct_VLT7705)</w:t>
      </w:r>
      <w:r>
        <w:br/>
        <w:t xml:space="preserve">    Tier: Tier 1 Enterprise</w:t>
      </w:r>
      <w:r>
        <w:br/>
        <w:t xml:space="preserve">    Notes: Contract amendment effective April 1, 2026: committed minimum revised from $14,000 to $10,000 per quarter; overage cap set at $3,800. Amendment record in Salesforce opportunity 006VLT005. Use the amended terms for Q2 calculation.</w:t>
      </w:r>
    </w:p>
    <w:p>
      <w:pPr>
        <w:pStyle w:val="Heading2"/>
      </w:pPr>
      <w:r>
        <w:t>Notes for Billing Operations</w:t>
      </w:r>
    </w:p>
    <w:p>
      <w:r>
        <w:rPr>
          <w:b/>
        </w:rPr>
        <w:t xml:space="preserve">Source of truth for contract terms: </w:t>
      </w:r>
      <w:r>
        <w:t>Salesforce (opportunity records). CRM systems such as HubSpot may contain historical deal data that has not been updated to reflect amendments — always refer to Salesforce for current committed minimums, rates, and caps.</w:t>
        <w:br/>
      </w:r>
      <w:r>
        <w:rPr>
          <w:b/>
        </w:rPr>
        <w:t xml:space="preserve">Source of truth for actual usage: </w:t>
      </w:r>
      <w:r>
        <w:t>Stripe (succeeded charges within Q2 window only). Accounting system records (QuickBooks, Xero) are mirrors; do not count them as independent sources.</w:t>
        <w:br/>
      </w:r>
      <w:r>
        <w:rPr>
          <w:b/>
        </w:rPr>
        <w:t xml:space="preserve">Questions: </w:t>
      </w:r>
      <w:r>
        <w:t>Contact Rita Mehta (Rev Ops Director) or refer to the Enterprise Billing Policy (q2_billing_policy.pdf) before making any calculation decisions. Policy governs all edge cases including internal account exclusions, cap waiver procedures, and SLA credit authorization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