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Vienna Modern 1890 to 1930 // Patrons' Evening</w:t>
      </w:r>
    </w:p>
    <w:p>
      <w:r>
        <w:t>From: Klara Winter, Head of Development, Osterreichisches Kunstmuseum</w:t>
      </w:r>
    </w:p>
    <w:p>
      <w:r>
        <w:t>To: Joyce Padilla, Director</w:t>
      </w:r>
    </w:p>
    <w:p>
      <w:r>
        <w:t>Sent: 6 November 2026, 09:12 CET</w:t>
      </w:r>
    </w:p>
    <w:p>
      <w:r>
        <w:t>Subject: Patrons' evening venue -- final constraints for your call</w:t>
      </w:r>
    </w:p>
    <w:p/>
    <w:p>
      <w:r>
        <w:t>Joyce, this is the paper trail behind the email I sent this morning so we have one signed brief in the shared drive. Please treat the figures in this note as the binding ones for the venue pick; the older discussion notes in circulation predate the invitation list closing.</w:t>
      </w:r>
    </w:p>
    <w:p>
      <w:pPr>
        <w:pStyle w:val="Heading2"/>
      </w:pPr>
      <w:r>
        <w:t>Binding constraints for the 14 November 2026 patrons' evening</w:t>
      </w:r>
    </w:p>
    <w:p>
      <w:r>
        <w:rPr>
          <w:b/>
        </w:rPr>
        <w:t xml:space="preserve">Confirmed guest count: </w:t>
      </w:r>
      <w:r>
        <w:t>180 invited patrons and partners.</w:t>
      </w:r>
    </w:p>
    <w:p>
      <w:r>
        <w:rPr>
          <w:b/>
        </w:rPr>
        <w:t xml:space="preserve">Budget ceiling for venue hire only: </w:t>
      </w:r>
      <w:r>
        <w:t>EUR 12,000 net of catering. Any spend at or above EUR 12,001 requires board sign-off, which we will not seek at this hour.</w:t>
      </w:r>
    </w:p>
    <w:p>
      <w:r>
        <w:rPr>
          <w:b/>
        </w:rPr>
        <w:t xml:space="preserve">Date and window: </w:t>
      </w:r>
      <w:r>
        <w:t>Saturday 14 November 2026, arrival from 19:00, formal remarks 19:45, close 22:30.</w:t>
      </w:r>
    </w:p>
    <w:p>
      <w:r>
        <w:rPr>
          <w:b/>
        </w:rPr>
        <w:t xml:space="preserve">Curatorial fit: </w:t>
      </w:r>
      <w:r>
        <w:t>the room should carry the Vienna 1900 mood on its own bones. Secessionist and Jugendstil interiors count; a neutral hotel ballroom does not.</w:t>
      </w:r>
    </w:p>
    <w:p>
      <w:r>
        <w:rPr>
          <w:b/>
        </w:rPr>
        <w:t xml:space="preserve">Availability check: </w:t>
      </w:r>
      <w:r>
        <w:t>only rooms with a confirmed hold on our shared calendar for 14 November are in scope. If a hold is missing or shows a conflict, treat the venue as unavailable, do not chase a fresh reservation at this stage.</w:t>
      </w:r>
    </w:p>
    <w:p>
      <w:pPr>
        <w:pStyle w:val="Heading2"/>
      </w:pPr>
      <w:r>
        <w:t>Shortlist under review</w:t>
      </w:r>
    </w:p>
    <w:p>
      <w:r>
        <w:t>The comparison sheet in Documents/file_11.xlsx lists the four rooms that landed within our search radius. We already visited all four in October. The four rows are Wiener Secession, Palais Ferstel Grand Hall, Palais Ferstel Rotunde, and Palais Pallavicini. Please rank against the constraints above and return the pick as a one-page visual for Stefan and Margarethe by Monday.</w:t>
      </w:r>
    </w:p>
    <w:p>
      <w:r>
        <w:t>One housekeeping note. Ignore the 22 October pencil memo from my predecessor Ansgar (in Music/, filed with the general fundraising thread) -- that pre-dates the guest list closing and refers to a much smaller gathering.</w:t>
      </w:r>
    </w:p>
    <w:p/>
    <w:p>
      <w:r>
        <w:t>Warm regards,</w:t>
      </w:r>
    </w:p>
    <w:p>
      <w:r>
        <w:t>Klara Winter</w:t>
      </w:r>
    </w:p>
    <w:p>
      <w:r>
        <w:t>Head of Development // Osterreichisches Kunstmuseum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