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Notes: 2026 Florida Family Law Case Update</w:t>
      </w:r>
    </w:p>
    <w:p>
      <w:r>
        <w:t>Biscayne Bar Association lunch seminar, downtown Miami, January 23, 2026. 3.0 general CLE credits, logged same day. Running cycle total: 18.0 of 33.0, cycle ends October 31, 2026. Still need 15.0 including 2.0 ethics. Plan: the fall seminar October 24 covers 7.0 including 1.0 ethics, remainder online before the reporting date. Do not let this become a panicked October. Again.</w:t>
      </w:r>
    </w:p>
    <w:p>
      <w:pPr>
        <w:pStyle w:val="Heading2"/>
      </w:pPr>
      <w:r>
        <w:t>Equitable Distribution</w:t>
      </w:r>
    </w:p>
    <w:p>
      <w:pPr>
        <w:pStyle w:val="ListBullet"/>
      </w:pPr>
      <w:r>
        <w:t>Panel walked through the recent Third DCA decisions on valuation dates for closely held businesses. Takeaway: argue the valuation date explicitly at the case management conference, silence is being read as acquiescence.</w:t>
      </w:r>
    </w:p>
    <w:p>
      <w:pPr>
        <w:pStyle w:val="ListBullet"/>
      </w:pPr>
      <w:r>
        <w:t>Commingled inheritance funds remain the most litigated tracing issue. The presenter's flowchart matches the approach I already use, good confirmation.</w:t>
      </w:r>
    </w:p>
    <w:p>
      <w:pPr>
        <w:pStyle w:val="Heading2"/>
      </w:pPr>
      <w:r>
        <w:t>Timesharing and Relocation</w:t>
      </w:r>
    </w:p>
    <w:p>
      <w:pPr>
        <w:pStyle w:val="ListBullet"/>
      </w:pPr>
      <w:r>
        <w:t>Relocation standard discussion was the strongest hour. Courts are scrutinizing the good faith prong harder where the relocating parent has a new partner in the destination city. Update my relocation intake questionnaire to document employment and family support reasons first.</w:t>
      </w:r>
    </w:p>
    <w:p>
      <w:pPr>
        <w:pStyle w:val="ListBullet"/>
      </w:pPr>
      <w:r>
        <w:t>Reminder from the bench panelist: temporary relocation orders are being reversed when the trial court skips written findings. Always submit proposed findings.</w:t>
      </w:r>
    </w:p>
    <w:p>
      <w:pPr>
        <w:pStyle w:val="Heading2"/>
      </w:pPr>
      <w:r>
        <w:t>Procedure</w:t>
      </w:r>
    </w:p>
    <w:p>
      <w:pPr>
        <w:pStyle w:val="ListBullet"/>
      </w:pPr>
      <w:r>
        <w:t>E-filing portal amendments effective this year change the service email rules. Emily to verify our designations on every open matter, added to Monday's staff meeting agenda for February 2.</w:t>
      </w:r>
    </w:p>
    <w:p>
      <w:pPr>
        <w:pStyle w:val="ListBullet"/>
      </w:pPr>
      <w:r>
        <w:t>New standardized parenting plan form is optional but judges in our division reportedly prefer it. Adopt it for new matters.</w:t>
      </w:r>
    </w:p>
    <w:p>
      <w:pPr>
        <w:pStyle w:val="Heading2"/>
      </w:pPr>
      <w:r>
        <w:t>Follow Up</w:t>
      </w:r>
    </w:p>
    <w:p>
      <w:pPr>
        <w:pStyle w:val="ListBullet"/>
      </w:pPr>
      <w:r>
        <w:t>Request the relocation presentation slides from the panel chair.</w:t>
      </w:r>
    </w:p>
    <w:p>
      <w:pPr>
        <w:pStyle w:val="ListBullet"/>
      </w:pPr>
      <w:r>
        <w:t>Register for the October 24 fall seminar before the early rate ends. Done, confirmed February 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Brooks</dc:creator>
  <cp:keywords/>
  <dc:description/>
  <cp:lastModifiedBy>Michelle Brooks</cp:lastModifiedBy>
  <cp:revision>1</cp:revision>
  <dcterms:created xsi:type="dcterms:W3CDTF">2026-02-28T09:00:00Z</dcterms:created>
  <dcterms:modified xsi:type="dcterms:W3CDTF">2026-02-28T09:00:00Z</dcterms:modified>
  <cp:category/>
</cp:coreProperties>
</file>