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 Agreement Summary</w:t>
      </w:r>
    </w:p>
    <w:p>
      <w:r>
        <w:t>Agreement reference ASA-2024-0193 between Eleanor's Tavern and Atlantic Seafood Supply. This is the working summary kept on file. The signed agreement is stored with the restaurant paperwork.</w:t>
      </w:r>
    </w:p>
    <w:p>
      <w:pPr>
        <w:pStyle w:val="Heading2"/>
      </w:pPr>
      <w:r>
        <w:t>Parties</w:t>
      </w:r>
    </w:p>
    <w:p>
      <w:r>
        <w:t>Buyer: Eleanor's Tavern, 34-08 30th Avenue, Astoria, NY 11103</w:t>
      </w:r>
    </w:p>
    <w:p>
      <w:r>
        <w:t>Supplier: Atlantic Seafood Supply, Hunts Point Cooperative Market, 355 Food Center Drive, Bronx, NY 10474</w:t>
      </w:r>
    </w:p>
    <w:p>
      <w:r>
        <w:t>Supplier contact: Kevin Walsh, (718) 555-0193, kevin@atlanticseafood.com</w:t>
      </w:r>
    </w:p>
    <w:p>
      <w:pPr>
        <w:pStyle w:val="Heading2"/>
      </w:pPr>
      <w:r>
        <w:t>Terms</w:t>
      </w:r>
    </w:p>
    <w:p>
      <w:pPr>
        <w:pStyle w:val="ListBullet"/>
      </w:pPr>
      <w:r>
        <w:t>Delivery Tuesday and Friday before 7:00 AM to the back door on 30th Avenue.</w:t>
      </w:r>
    </w:p>
    <w:p>
      <w:pPr>
        <w:pStyle w:val="ListBullet"/>
      </w:pPr>
      <w:r>
        <w:t>Quality standard: day boat where available, packed on ice, temperature logged on receipt.</w:t>
      </w:r>
    </w:p>
    <w:p>
      <w:pPr>
        <w:pStyle w:val="ListBullet"/>
      </w:pPr>
      <w:r>
        <w:t>Pricing reviewed quarterly. The Q4 2026 revision is effective October 1, 2026.</w:t>
      </w:r>
    </w:p>
    <w:p>
      <w:pPr>
        <w:pStyle w:val="ListBullet"/>
      </w:pPr>
      <w:r>
        <w:t>Payment net 14 from the business operating account.</w:t>
      </w:r>
    </w:p>
    <w:p>
      <w:pPr>
        <w:pStyle w:val="ListBullet"/>
      </w:pPr>
      <w:r>
        <w:t>Short or wrong deliveries credited on the next invoice when reported same day.</w:t>
      </w:r>
    </w:p>
    <w:p>
      <w:pPr>
        <w:pStyle w:val="ListBullet"/>
      </w:pPr>
      <w:r>
        <w:t>Either party may end the agreement with 30 days written notice.</w:t>
      </w:r>
    </w:p>
    <w:p>
      <w:pPr>
        <w:pStyle w:val="Heading2"/>
      </w:pPr>
      <w:r>
        <w:t>Relationship note</w:t>
      </w:r>
    </w:p>
    <w:p>
      <w:r>
        <w:t>Kevin has delivered on time for years and calls every Tuesday. The relationship is business and friendship both. Volume on cod is the lever in the Q4 conversation.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