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Museum shop launch, press office scratch notes</w:t>
      </w:r>
    </w:p>
    <w:p>
      <w:r>
        <w:t>Rolling notes from Petra Lang. Not for public distribution.</w:t>
      </w:r>
    </w:p>
    <w:p/>
    <w:p>
      <w:r>
        <w:t>The shop line for Vienna Modern lands on the opening day, 1 October. I keep getting asked for a single price sheet by Handelsblatt and by the ORF Kultur desk. Right now I have two figures floating for the Ringstrasse print (SHOP-VM-2026-011): the September 5 quote from Klaus said 79 EUR, and a revised note from Klaus on 22 September moved it to 89 EUR.</w:t>
      </w:r>
    </w:p>
    <w:p>
      <w:r>
        <w:t>TODO: check with Sabine which one is now on the BigCommerce record. My gut is the newer figure is the one that ships, because that is how we handled the poster line last year, but the product page still shows the old figure last time I looked. Do not quote me from these notes.</w:t>
      </w:r>
    </w:p>
    <w:p>
      <w:r>
        <w:t>Cover picture: Sabine and the buyers landed on the Ringstrasse fiaker shot for the card. That is the one I would use for any journalist teaser. If anyone asks me for the caryatid shot I say no, the rights are not through legal yet.</w:t>
      </w:r>
    </w:p>
    <w:p>
      <w:r>
        <w:t>TODO: pull the credit line from the shop template file when I write the release, do not paraphrase.</w:t>
      </w:r>
    </w:p>
    <w:p/>
    <w:p>
      <w:r>
        <w:t>Handelsblatt asked about the ministerial ribbon cut on the shop side; I said the ribbon is exhibition-side only, the shop opens quietly the same morning.</w:t>
      </w:r>
    </w:p>
    <w:p>
      <w:r>
        <w:t>Reuters asked about editioning. I said the fine art prints are capped at 250. That number is Committee-level so it is safe to quote.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