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Kestrel Healthcare</w:t>
      </w:r>
    </w:p>
    <w:p>
      <w:r>
        <w:rPr>
          <w:b w:val="0"/>
          <w:sz w:val="20"/>
        </w:rPr>
        <w:t>Department of Rehabilitation Services</w:t>
      </w:r>
    </w:p>
    <w:p>
      <w:r>
        <w:rPr>
          <w:b w:val="0"/>
          <w:sz w:val="20"/>
        </w:rPr>
        <w:t>245 East 38th Street, New York, NY 10016</w:t>
      </w:r>
    </w:p>
    <w:p>
      <w:r>
        <w:rPr>
          <w:b w:val="0"/>
          <w:sz w:val="22"/>
        </w:rPr>
      </w:r>
    </w:p>
    <w:p>
      <w:r>
        <w:rPr>
          <w:b w:val="0"/>
          <w:sz w:val="22"/>
        </w:rPr>
        <w:t>October 17, 2025</w:t>
      </w:r>
    </w:p>
    <w:p>
      <w:r>
        <w:rPr>
          <w:b w:val="0"/>
          <w:sz w:val="22"/>
        </w:rPr>
      </w:r>
    </w:p>
    <w:p>
      <w:r>
        <w:rPr>
          <w:b w:val="0"/>
          <w:sz w:val="22"/>
        </w:rPr>
        <w:t>To: Nicole King, MT-BC, Employee ID KH-40517</w:t>
      </w:r>
    </w:p>
    <w:p>
      <w:r>
        <w:rPr>
          <w:b w:val="0"/>
          <w:sz w:val="22"/>
        </w:rPr>
        <w:t>From: Sarah Lieberman, PhD, Director of Rehabilitation Services</w:t>
      </w:r>
    </w:p>
    <w:p>
      <w:r>
        <w:rPr>
          <w:b w:val="0"/>
          <w:sz w:val="22"/>
        </w:rPr>
        <w:t>Re: Annual Performance Review</w:t>
      </w:r>
    </w:p>
    <w:p>
      <w:r>
        <w:rPr>
          <w:b w:val="0"/>
          <w:sz w:val="22"/>
        </w:rPr>
      </w:r>
    </w:p>
    <w:p>
      <w:r>
        <w:rPr>
          <w:b w:val="0"/>
          <w:sz w:val="22"/>
        </w:rPr>
        <w:t>Dear Nicole,</w:t>
      </w:r>
    </w:p>
    <w:p>
      <w:r>
        <w:rPr>
          <w:b w:val="0"/>
          <w:sz w:val="22"/>
        </w:rPr>
        <w:t>This letter summarizes your annual performance review for the period covering the past twelve months on the neurorehabilitation unit. Our conversation this week confirmed what the team already knows. Your clinical work is among the strongest on the floor.</w:t>
      </w:r>
    </w:p>
    <w:p>
      <w:r>
        <w:rPr>
          <w:b w:val="0"/>
          <w:sz w:val="22"/>
        </w:rPr>
        <w:t>Your use of Neurologic Music Therapy continues to set the standard here. Rhythmic auditory stimulation for gait recovery, melodic intonation therapy for aphasia, and therapeutic instrument playing for motor return are all areas where attending neurologists now request you by name for their patients. You carry a caseload of eighteen to twenty two patients across stroke, traumatic brain injury, and neurodegenerative conditions, and you hold that load without letting documentation or rapport slip.</w:t>
      </w:r>
    </w:p>
    <w:p>
      <w:r>
        <w:rPr>
          <w:b w:val="0"/>
          <w:sz w:val="22"/>
        </w:rPr>
        <w:t>Two areas for the coming year. First, the prior authorization and appeals volume continues to consume time that would be better spent in session. We will look at administrative support options in the next budget cycle. Second, and more importantly, I am again encouraging you to write up your melodic intonation therapy results as a clinical case series. The outcomes you are seeing deserve a wider audience, and the work would strengthen both your portfolio and the unit.</w:t>
      </w:r>
    </w:p>
    <w:p>
      <w:r>
        <w:rPr>
          <w:b w:val="0"/>
          <w:sz w:val="22"/>
        </w:rPr>
        <w:t>Overall rating for the period: Exceeds Expectations.</w:t>
      </w:r>
    </w:p>
    <w:p>
      <w:r>
        <w:rPr>
          <w:b w:val="0"/>
          <w:sz w:val="22"/>
        </w:rPr>
        <w:t>Thank you for the steadiness and the care you bring. It does not go unnoticed.</w:t>
      </w:r>
    </w:p>
    <w:p>
      <w:r>
        <w:rPr>
          <w:b w:val="0"/>
          <w:sz w:val="22"/>
        </w:rPr>
      </w:r>
    </w:p>
    <w:p>
      <w:r>
        <w:rPr>
          <w:b w:val="0"/>
          <w:sz w:val="22"/>
        </w:rPr>
        <w:t>Sincerely,</w:t>
      </w:r>
    </w:p>
    <w:p>
      <w:r>
        <w:rPr>
          <w:b w:val="0"/>
          <w:sz w:val="22"/>
        </w:rPr>
        <w:t>Sarah Lieberman, PhD</w:t>
      </w:r>
    </w:p>
    <w:p>
      <w:r>
        <w:rPr>
          <w:b w:val="0"/>
          <w:sz w:val="22"/>
        </w:rPr>
        <w:t>Director of Rehabilitation Services, Kestrel Healthcare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King</dc:creator>
  <cp:keywords/>
  <dc:description/>
  <cp:lastModifiedBy>Priya Raman</cp:lastModifiedBy>
  <cp:revision>2</cp:revision>
  <dcterms:created xsi:type="dcterms:W3CDTF">2026-09-07T10:02:18Z</dcterms:created>
  <dcterms:modified xsi:type="dcterms:W3CDTF">2026-09-24T15:02:18Z</dcterms:modified>
  <cp:category/>
</cp:coreProperties>
</file>