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Vienna Modern fundraising // catch-up notes</w:t>
      </w:r>
    </w:p>
    <w:p>
      <w:r>
        <w:t>Ansgar Feldmann, outgoing Head of Development</w:t>
      </w:r>
    </w:p>
    <w:p>
      <w:r>
        <w:t>22 October 2026 // pencil memo for the fundraising thread</w:t>
      </w:r>
    </w:p>
    <w:p/>
    <w:p>
      <w:r>
        <w:t>Quick notes for the file before I hand over to Klara. As of the 22 October conversation with Dr. Huber, we were still working with an early estimate of about 120 invited guests for the patrons' evening. On that assumption my leaning was Palais Pallavicini as the working first pick: the caryatid entrance photographs well for the museum newsletter, the neoclassical reception rooms suit a smaller gathering, and the venue manager quoted a hire figure well within our informal budget of the day.</w:t>
      </w:r>
    </w:p>
    <w:p>
      <w:r>
        <w:t>Caveats for whoever picks this up. The final guest list closes at the end of the month and Klara expects it to run substantially above the estimate above; the venue-hire ceiling is being revisited by the board on 5 November; and we have not confirmed availability on the shared calendar. Treat this note as background only. The venue call for 14 November should be made against whatever brief Klara sends after the guest list closes, and against live availability, not against these old numbers.</w:t>
      </w:r>
    </w:p>
    <w:p/>
    <w:p>
      <w:r>
        <w:t>A. Feldmann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