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Museum Leadership in the Twenty First Century, Outline</w:t>
      </w:r>
    </w:p>
    <w:p>
      <w:r>
        <w:t xml:space="preserve">A working outline for a book drawn from two decades in the field, written for directors, curators, and the boards and ministries they answer to.</w:t>
      </w:r>
    </w:p>
    <w:p>
      <w:r>
        <w:t xml:space="preserve">Chapter 1. The museum as a trust, not a property. The collection is held for the public and for those who come after us.</w:t>
      </w:r>
    </w:p>
    <w:p>
      <w:r>
        <w:t xml:space="preserve">Chapter 2. Governance, boards, and the politics of the possible. Working with a chairman and a board without surrendering the institution's direction.</w:t>
      </w:r>
    </w:p>
    <w:p>
      <w:r>
        <w:t xml:space="preserve">Chapter 3. Funding between the state and the donor. The annual budget cycle, the endowment, and the line a director must not cross.</w:t>
      </w:r>
    </w:p>
    <w:p>
      <w:r>
        <w:t xml:space="preserve">Chapter 4. The exhibition as an argument. Why a show is a claim about how a society sees itself.</w:t>
      </w:r>
    </w:p>
    <w:p>
      <w:r>
        <w:t xml:space="preserve">Chapter 5. Digitisation and the question of access. What it means to open a collection to people who will never walk through the doors.</w:t>
      </w:r>
    </w:p>
    <w:p>
      <w:r>
        <w:t xml:space="preserve">Chapter 6. Conservation and the long horizon. Institutional time runs in decades, not quarters.</w:t>
      </w:r>
    </w:p>
    <w:p>
      <w:r>
        <w:t xml:space="preserve">Chapter 7. Leading curators, conservators, and the temperamental. The people work is the real work.</w:t>
      </w:r>
    </w:p>
    <w:p>
      <w:r>
        <w:t xml:space="preserve">Chapter 8. The director as steward of institutional time. Holding the multi year arcs while the day still has to be run.</w:t>
      </w:r>
    </w:p>
    <w:sectPr>
      <w:pgSz w:w="11906" w:h="16838"/>
      <w:pgMar w:top="1440" w:right="1440" w:bottom="1440" w:left="1440" w:header="708" w:footer="708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Joyce Padilla</dc:creator>
  <cp:lastModifiedBy>Joyce Padilla</cp:lastModifiedBy>
</cp:coreProperties>
</file>