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Brooks Family Law PA, Fee Schedule</w:t>
      </w:r>
    </w:p>
    <w:p>
      <w:r>
        <w:t>Effective January 1, 2026. Internal reference for engagement letters and intake calls. Prepared by M. Brooks, reviewed with Emily Taylor at the January 5, 2026 staff meeting.</w:t>
      </w:r>
    </w:p>
    <w:p>
      <w:pPr>
        <w:pStyle w:val="Heading2"/>
      </w:pPr>
      <w:r>
        <w:t>Hourly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Timekeeper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Michelle G. Brooks, Founding Attorney</w:t>
            </w:r>
          </w:p>
        </w:tc>
        <w:tc>
          <w:tcPr>
            <w:tcW w:type="dxa" w:w="4320"/>
          </w:tcPr>
          <w:p>
            <w:r>
              <w:t>$350.00 per hour</w:t>
            </w:r>
          </w:p>
        </w:tc>
      </w:tr>
      <w:tr>
        <w:tc>
          <w:tcPr>
            <w:tcW w:type="dxa" w:w="4320"/>
          </w:tcPr>
          <w:p>
            <w:r>
              <w:t>Emily Taylor, Paralegal</w:t>
            </w:r>
          </w:p>
        </w:tc>
        <w:tc>
          <w:tcPr>
            <w:tcW w:type="dxa" w:w="4320"/>
          </w:tcPr>
          <w:p>
            <w:r>
              <w:t>$125.00 per hour</w:t>
            </w:r>
          </w:p>
        </w:tc>
      </w:tr>
      <w:tr>
        <w:tc>
          <w:tcPr>
            <w:tcW w:type="dxa" w:w="4320"/>
          </w:tcPr>
          <w:p>
            <w:r>
              <w:t>Margaret Stevens, Legal Assistant</w:t>
            </w:r>
          </w:p>
        </w:tc>
        <w:tc>
          <w:tcPr>
            <w:tcW w:type="dxa" w:w="4320"/>
          </w:tcPr>
          <w:p>
            <w:r>
              <w:t>$75.00 per hour</w:t>
            </w:r>
          </w:p>
        </w:tc>
      </w:tr>
    </w:tbl>
    <w:p>
      <w:pPr>
        <w:pStyle w:val="Heading2"/>
      </w:pPr>
      <w:r>
        <w:t>Consultations</w:t>
      </w:r>
    </w:p>
    <w:p>
      <w:r>
        <w:t>Initial consultation is $150.00 flat, up to one hour, credited toward the retainer if the client engages the firm within thirty days. The consultation fee is waived for all referrals from Palmetto Family Assistance Services.</w:t>
      </w:r>
    </w:p>
    <w:p>
      <w:pPr>
        <w:pStyle w:val="Heading2"/>
      </w:pPr>
      <w:r>
        <w:t>Standard Retainers and Flat Fees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Matter Type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Structure</w:t>
            </w:r>
          </w:p>
        </w:tc>
      </w:tr>
      <w:tr>
        <w:tc>
          <w:tcPr>
            <w:tcW w:type="dxa" w:w="2880"/>
          </w:tcPr>
          <w:p>
            <w:r>
              <w:t>Dissolution of marriage</w:t>
            </w:r>
          </w:p>
        </w:tc>
        <w:tc>
          <w:tcPr>
            <w:tcW w:type="dxa" w:w="2880"/>
          </w:tcPr>
          <w:p>
            <w:r>
              <w:t>$3,500.00</w:t>
            </w:r>
          </w:p>
        </w:tc>
        <w:tc>
          <w:tcPr>
            <w:tcW w:type="dxa" w:w="2880"/>
          </w:tcPr>
          <w:p>
            <w:r>
              <w:t>Retainer, billed hourly</w:t>
            </w:r>
          </w:p>
        </w:tc>
      </w:tr>
      <w:tr>
        <w:tc>
          <w:tcPr>
            <w:tcW w:type="dxa" w:w="2880"/>
          </w:tcPr>
          <w:p>
            <w:r>
              <w:t>Custody or parenting plan modification</w:t>
            </w:r>
          </w:p>
        </w:tc>
        <w:tc>
          <w:tcPr>
            <w:tcW w:type="dxa" w:w="2880"/>
          </w:tcPr>
          <w:p>
            <w:r>
              <w:t>$2,500.00</w:t>
            </w:r>
          </w:p>
        </w:tc>
        <w:tc>
          <w:tcPr>
            <w:tcW w:type="dxa" w:w="2880"/>
          </w:tcPr>
          <w:p>
            <w:r>
              <w:t>Retainer, billed hourly</w:t>
            </w:r>
          </w:p>
        </w:tc>
      </w:tr>
      <w:tr>
        <w:tc>
          <w:tcPr>
            <w:tcW w:type="dxa" w:w="2880"/>
          </w:tcPr>
          <w:p>
            <w:r>
              <w:t>Stepparent adoption</w:t>
            </w:r>
          </w:p>
        </w:tc>
        <w:tc>
          <w:tcPr>
            <w:tcW w:type="dxa" w:w="2880"/>
          </w:tcPr>
          <w:p>
            <w:r>
              <w:t>$2,500.00</w:t>
            </w:r>
          </w:p>
        </w:tc>
        <w:tc>
          <w:tcPr>
            <w:tcW w:type="dxa" w:w="2880"/>
          </w:tcPr>
          <w:p>
            <w:r>
              <w:t>Flat fee</w:t>
            </w:r>
          </w:p>
        </w:tc>
      </w:tr>
      <w:tr>
        <w:tc>
          <w:tcPr>
            <w:tcW w:type="dxa" w:w="2880"/>
          </w:tcPr>
          <w:p>
            <w:r>
              <w:t>Prenuptial agreement</w:t>
            </w:r>
          </w:p>
        </w:tc>
        <w:tc>
          <w:tcPr>
            <w:tcW w:type="dxa" w:w="2880"/>
          </w:tcPr>
          <w:p>
            <w:r>
              <w:t>$1,800.00</w:t>
            </w:r>
          </w:p>
        </w:tc>
        <w:tc>
          <w:tcPr>
            <w:tcW w:type="dxa" w:w="2880"/>
          </w:tcPr>
          <w:p>
            <w:r>
              <w:t>Flat fee</w:t>
            </w:r>
          </w:p>
        </w:tc>
      </w:tr>
      <w:tr>
        <w:tc>
          <w:tcPr>
            <w:tcW w:type="dxa" w:w="2880"/>
          </w:tcPr>
          <w:p>
            <w:r>
              <w:t>Guardianship</w:t>
            </w:r>
          </w:p>
        </w:tc>
        <w:tc>
          <w:tcPr>
            <w:tcW w:type="dxa" w:w="2880"/>
          </w:tcPr>
          <w:p>
            <w:r>
              <w:t>$2,200.00</w:t>
            </w:r>
          </w:p>
        </w:tc>
        <w:tc>
          <w:tcPr>
            <w:tcW w:type="dxa" w:w="2880"/>
          </w:tcPr>
          <w:p>
            <w:r>
              <w:t>Retainer, billed hourly</w:t>
            </w:r>
          </w:p>
        </w:tc>
      </w:tr>
    </w:tbl>
    <w:p>
      <w:pPr>
        <w:pStyle w:val="Heading2"/>
      </w:pPr>
      <w:r>
        <w:t>Billing and Trust Accounting</w:t>
      </w:r>
    </w:p>
    <w:p>
      <w:pPr>
        <w:pStyle w:val="ListBullet"/>
      </w:pPr>
      <w:r>
        <w:t>Invoices issue monthly through QuickBooks. Payment due within twenty days.</w:t>
      </w:r>
    </w:p>
    <w:p>
      <w:pPr>
        <w:pStyle w:val="ListBullet"/>
      </w:pPr>
      <w:r>
        <w:t>Retainers are held in the firm trust account and drawn against monthly statements in accordance with Rule 5-1.1, Rules Regulating The Florida Bar.</w:t>
      </w:r>
    </w:p>
    <w:p>
      <w:pPr>
        <w:pStyle w:val="ListBullet"/>
      </w:pPr>
      <w:r>
        <w:t>Replenishment is requested when a retainer balance falls below $750.00.</w:t>
      </w:r>
    </w:p>
    <w:p>
      <w:pPr>
        <w:pStyle w:val="ListBullet"/>
      </w:pPr>
      <w:r>
        <w:t>Pro bono matters referred through Palmetto Family Assistance Services carry no fee and no costs billed to the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Brooks</dc:creator>
  <cp:keywords/>
  <dc:description/>
  <cp:lastModifiedBy>Michelle Brooks</cp:lastModifiedBy>
  <cp:revision>1</cp:revision>
  <dcterms:created xsi:type="dcterms:W3CDTF">2026-02-28T09:00:00Z</dcterms:created>
  <dcterms:modified xsi:type="dcterms:W3CDTF">2026-02-28T09:00:00Z</dcterms:modified>
  <cp:category/>
</cp:coreProperties>
</file>