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Notes – “On His Having Arrived at the Age of Twenty-Three”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          “On His Blindness”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Both of these poems are examples of the Italian sonnet form – Milton preferred the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classical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structure of octave, sestet to the Elizabethan three quatrain, couplet structure.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“On His Having Arrived at the Age of Twenty-Three”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1&amp;2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personification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time is characterized as a “subtle thief” who moves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swiftly on the wing – reminiscent of the Cavalier images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ab/>
        <w:t xml:space="preserve">we’ve studied.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4 –  good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metaphor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here – Milton describes his unproductive youth as a “late spring”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yet to show “…bud or blossom…”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 xml:space="preserve">     At a time when few people lived much beyond fifty, Milton might well have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 xml:space="preserve">reflected that to be twenty-three and to have still not produced anything of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value was cause for alarm!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6&amp;7 –  Milton is afraid that, now that he is approaching manhood, the freshness and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inspiration of youth may never come again.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8 –  Milton feels that others his age have accomplished more than he.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9-14 –  in the sestet, Milton expresses the belief that his time will come, but only if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he dedicates himself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vertAlign w:val="baseline"/>
          <w:rtl w:val="0"/>
        </w:rPr>
        <w:t xml:space="preserve">completely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to the will of God, his “great Taskmaster”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 xml:space="preserve">         as we know, a very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Puritan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attitude.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“On His Blindness”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 rather poignant, very personal expression of Milton’s frustration over the loss of his sight – but also expressing a glimmer of hope for his continued service to God.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1&amp;2 –  lines express Milton’s bitter disappointment at no longer being able to enjoy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what he loves best – reading and writing.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3 –  “talent” here is an example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as the poet makes reference to the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parable of the talents from Matthew 25: 14-30.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4-7 –  because of his blindness, the poet feels he cannot adequately make use of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the gifts that God has blessed him with – he will have nothing to show for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himself when the last judgment arrives.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9-14 –  in this sestet, the poet takes comfort in the basic knowledge that different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people serve the Lord in different ways.  God, who has no need of “…man’s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work,” may yet have work for Milton.  The fact that Milton was able to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compose these two beautiful sonnets more than proves his talent was intact.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14 –  thus, we have this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famous final line – “They also serve who only stand and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ab/>
        <w:tab/>
        <w:tab/>
        <w:tab/>
        <w:tab/>
        <w:t xml:space="preserve">wait.”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