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90" w:firstLine="0"/>
        <w:contextualSpacing w:val="0"/>
        <w:rPr/>
      </w:pPr>
      <w:r w:rsidDel="00000000" w:rsidR="00000000" w:rsidRPr="00000000">
        <w:rPr>
          <w:vertAlign w:val="baseline"/>
          <w:rtl w:val="0"/>
        </w:rPr>
        <w:t xml:space="preserve">Geoffrey Chaucer’s famous work is significant for a number of reasons, not the least of which is that it is the first complete work written in English, the language of the  common people.  “The Canterbury Tales” also gives us a very unique and singular look at Medieval English society.  The characters in the poem come from nearly every class of Medieval life, giving us a remarkable glimpse into a colorful and romantic period in English history.</w:t>
      </w:r>
      <w:r w:rsidDel="00000000" w:rsidR="00000000" w:rsidRPr="00000000">
        <w:rPr>
          <w:rtl w:val="0"/>
        </w:rPr>
      </w:r>
    </w:p>
    <w:p w:rsidR="00000000" w:rsidDel="00000000" w:rsidP="00000000" w:rsidRDefault="00000000" w:rsidRPr="00000000" w14:paraId="00000001">
      <w:pPr>
        <w:ind w:left="90" w:firstLine="0"/>
        <w:contextualSpacing w:val="0"/>
        <w:rPr/>
      </w:pPr>
      <w:r w:rsidDel="00000000" w:rsidR="00000000" w:rsidRPr="00000000">
        <w:rPr>
          <w:rtl w:val="0"/>
        </w:rPr>
      </w:r>
    </w:p>
    <w:p w:rsidR="00000000" w:rsidDel="00000000" w:rsidP="00000000" w:rsidRDefault="00000000" w:rsidRPr="00000000" w14:paraId="00000002">
      <w:pPr>
        <w:ind w:left="90" w:firstLine="0"/>
        <w:contextualSpacing w:val="0"/>
        <w:rPr>
          <w:vertAlign w:val="baseline"/>
        </w:rPr>
      </w:pPr>
      <w:r w:rsidDel="00000000" w:rsidR="00000000" w:rsidRPr="00000000">
        <w:rPr>
          <w:vertAlign w:val="baseline"/>
          <w:rtl w:val="0"/>
        </w:rPr>
        <w:t xml:space="preserve">Basically, at the time of Chaucer, Medieval society could be broken down into the following five classes:</w:t>
      </w:r>
    </w:p>
    <w:p w:rsidR="00000000" w:rsidDel="00000000" w:rsidP="00000000" w:rsidRDefault="00000000" w:rsidRPr="00000000" w14:paraId="00000003">
      <w:pPr>
        <w:ind w:left="90" w:firstLine="0"/>
        <w:contextualSpacing w:val="0"/>
        <w:rPr>
          <w:vertAlign w:val="baseline"/>
        </w:rPr>
      </w:pPr>
      <w:r w:rsidDel="00000000" w:rsidR="00000000" w:rsidRPr="00000000">
        <w:rPr>
          <w:rtl w:val="0"/>
        </w:rPr>
      </w:r>
    </w:p>
    <w:p w:rsidR="00000000" w:rsidDel="00000000" w:rsidP="00000000" w:rsidRDefault="00000000" w:rsidRPr="00000000" w14:paraId="00000004">
      <w:pPr>
        <w:ind w:left="90" w:firstLine="0"/>
        <w:contextualSpacing w:val="0"/>
        <w:rPr>
          <w:vertAlign w:val="baseline"/>
        </w:rPr>
      </w:pPr>
      <w:r w:rsidDel="00000000" w:rsidR="00000000" w:rsidRPr="00000000">
        <w:rPr>
          <w:b w:val="1"/>
          <w:vertAlign w:val="baseline"/>
          <w:rtl w:val="0"/>
        </w:rPr>
        <w:tab/>
        <w:t xml:space="preserve">The Clergy</w:t>
      </w:r>
      <w:r w:rsidDel="00000000" w:rsidR="00000000" w:rsidRPr="00000000">
        <w:rPr>
          <w:vertAlign w:val="baseline"/>
          <w:rtl w:val="0"/>
        </w:rPr>
        <w:t xml:space="preserve"> / those associated with the Medieval Church</w:t>
      </w:r>
    </w:p>
    <w:p w:rsidR="00000000" w:rsidDel="00000000" w:rsidP="00000000" w:rsidRDefault="00000000" w:rsidRPr="00000000" w14:paraId="00000005">
      <w:pPr>
        <w:ind w:left="90" w:firstLine="0"/>
        <w:contextualSpacing w:val="0"/>
        <w:rPr>
          <w:vertAlign w:val="baseline"/>
        </w:rPr>
      </w:pPr>
      <w:r w:rsidDel="00000000" w:rsidR="00000000" w:rsidRPr="00000000">
        <w:rPr>
          <w:vertAlign w:val="baseline"/>
          <w:rtl w:val="0"/>
        </w:rPr>
        <w:tab/>
      </w:r>
      <w:r w:rsidDel="00000000" w:rsidR="00000000" w:rsidRPr="00000000">
        <w:rPr>
          <w:b w:val="1"/>
          <w:vertAlign w:val="baseline"/>
          <w:rtl w:val="0"/>
        </w:rPr>
        <w:t xml:space="preserve">The Nobility</w:t>
      </w:r>
      <w:r w:rsidDel="00000000" w:rsidR="00000000" w:rsidRPr="00000000">
        <w:rPr>
          <w:vertAlign w:val="baseline"/>
          <w:rtl w:val="0"/>
        </w:rPr>
        <w:t xml:space="preserve"> / those with ties to the Monarchy</w:t>
      </w:r>
    </w:p>
    <w:p w:rsidR="00000000" w:rsidDel="00000000" w:rsidP="00000000" w:rsidRDefault="00000000" w:rsidRPr="00000000" w14:paraId="00000006">
      <w:pPr>
        <w:ind w:left="90" w:firstLine="0"/>
        <w:contextualSpacing w:val="0"/>
        <w:rPr>
          <w:vertAlign w:val="baseline"/>
        </w:rPr>
      </w:pPr>
      <w:r w:rsidDel="00000000" w:rsidR="00000000" w:rsidRPr="00000000">
        <w:rPr>
          <w:vertAlign w:val="baseline"/>
          <w:rtl w:val="0"/>
        </w:rPr>
        <w:tab/>
      </w:r>
      <w:r w:rsidDel="00000000" w:rsidR="00000000" w:rsidRPr="00000000">
        <w:rPr>
          <w:b w:val="1"/>
          <w:vertAlign w:val="baseline"/>
          <w:rtl w:val="0"/>
        </w:rPr>
        <w:t xml:space="preserve">The Middle Class</w:t>
      </w:r>
      <w:r w:rsidDel="00000000" w:rsidR="00000000" w:rsidRPr="00000000">
        <w:rPr>
          <w:vertAlign w:val="baseline"/>
          <w:rtl w:val="0"/>
        </w:rPr>
        <w:t xml:space="preserve"> / professionals and the Gentry (landowners)</w:t>
      </w:r>
    </w:p>
    <w:p w:rsidR="00000000" w:rsidDel="00000000" w:rsidP="00000000" w:rsidRDefault="00000000" w:rsidRPr="00000000" w14:paraId="00000007">
      <w:pPr>
        <w:ind w:left="90" w:firstLine="0"/>
        <w:contextualSpacing w:val="0"/>
        <w:rPr>
          <w:vertAlign w:val="baseline"/>
        </w:rPr>
      </w:pPr>
      <w:r w:rsidDel="00000000" w:rsidR="00000000" w:rsidRPr="00000000">
        <w:rPr>
          <w:vertAlign w:val="baseline"/>
          <w:rtl w:val="0"/>
        </w:rPr>
        <w:tab/>
      </w:r>
      <w:r w:rsidDel="00000000" w:rsidR="00000000" w:rsidRPr="00000000">
        <w:rPr>
          <w:b w:val="1"/>
          <w:vertAlign w:val="baseline"/>
          <w:rtl w:val="0"/>
        </w:rPr>
        <w:t xml:space="preserve">The Working Class</w:t>
      </w:r>
      <w:r w:rsidDel="00000000" w:rsidR="00000000" w:rsidRPr="00000000">
        <w:rPr>
          <w:vertAlign w:val="baseline"/>
          <w:rtl w:val="0"/>
        </w:rPr>
        <w:t xml:space="preserve"> / skilled laborers </w:t>
      </w:r>
    </w:p>
    <w:p w:rsidR="00000000" w:rsidDel="00000000" w:rsidP="00000000" w:rsidRDefault="00000000" w:rsidRPr="00000000" w14:paraId="00000008">
      <w:pPr>
        <w:ind w:left="90" w:firstLine="0"/>
        <w:contextualSpacing w:val="0"/>
        <w:rPr>
          <w:vertAlign w:val="baseline"/>
        </w:rPr>
      </w:pPr>
      <w:r w:rsidDel="00000000" w:rsidR="00000000" w:rsidRPr="00000000">
        <w:rPr>
          <w:vertAlign w:val="baseline"/>
          <w:rtl w:val="0"/>
        </w:rPr>
        <w:tab/>
      </w:r>
      <w:r w:rsidDel="00000000" w:rsidR="00000000" w:rsidRPr="00000000">
        <w:rPr>
          <w:b w:val="1"/>
          <w:vertAlign w:val="baseline"/>
          <w:rtl w:val="0"/>
        </w:rPr>
        <w:t xml:space="preserve">The Peasant Class (serfs)</w:t>
      </w:r>
      <w:r w:rsidDel="00000000" w:rsidR="00000000" w:rsidRPr="00000000">
        <w:rPr>
          <w:vertAlign w:val="baseline"/>
          <w:rtl w:val="0"/>
        </w:rPr>
        <w:t xml:space="preserve"> / the poor, who were tied to the land</w:t>
      </w:r>
    </w:p>
    <w:p w:rsidR="00000000" w:rsidDel="00000000" w:rsidP="00000000" w:rsidRDefault="00000000" w:rsidRPr="00000000" w14:paraId="00000009">
      <w:pPr>
        <w:ind w:left="90" w:firstLine="0"/>
        <w:contextualSpacing w:val="0"/>
        <w:rPr/>
      </w:pPr>
      <w:r w:rsidDel="00000000" w:rsidR="00000000" w:rsidRPr="00000000">
        <w:rPr>
          <w:rtl w:val="0"/>
        </w:rPr>
      </w:r>
    </w:p>
    <w:p w:rsidR="00000000" w:rsidDel="00000000" w:rsidP="00000000" w:rsidRDefault="00000000" w:rsidRPr="00000000" w14:paraId="0000000A">
      <w:pPr>
        <w:ind w:left="90" w:firstLine="0"/>
        <w:contextualSpacing w:val="0"/>
        <w:rPr/>
      </w:pPr>
      <w:r w:rsidDel="00000000" w:rsidR="00000000" w:rsidRPr="00000000">
        <w:rPr>
          <w:rtl w:val="0"/>
        </w:rPr>
        <w:t xml:space="preserve">Divided according to their class, Chaucer’s pilgrims fall into the following categories: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Clergy</w:t>
        <w:tab/>
        <w:tab/>
        <w:tab/>
        <w:t xml:space="preserve">Nobility</w:t>
        <w:tab/>
        <w:tab/>
        <w:t xml:space="preserve">The Middle Class </w:t>
        <w:tab/>
      </w:r>
      <w:r w:rsidDel="00000000" w:rsidR="00000000" w:rsidRPr="00000000">
        <w:rPr>
          <w:b w:val="1"/>
          <w:rtl w:val="0"/>
        </w:rPr>
        <w:t xml:space="preserve">  </w:t>
      </w:r>
      <w:r w:rsidDel="00000000" w:rsidR="00000000" w:rsidRPr="00000000">
        <w:rPr>
          <w:b w:val="1"/>
          <w:u w:val="single"/>
          <w:rtl w:val="0"/>
        </w:rPr>
        <w:t xml:space="preserve">The Working Class</w:t>
      </w:r>
    </w:p>
    <w:p w:rsidR="00000000" w:rsidDel="00000000" w:rsidP="00000000" w:rsidRDefault="00000000" w:rsidRPr="00000000" w14:paraId="0000000D">
      <w:pPr>
        <w:contextualSpacing w:val="0"/>
        <w:rPr>
          <w:b w:val="1"/>
          <w:u w:val="single"/>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The Prioress</w:t>
        <w:tab/>
        <w:tab/>
        <w:t xml:space="preserve">The Knight</w:t>
        <w:tab/>
        <w:tab/>
        <w:t xml:space="preserve">The Merchant</w:t>
        <w:tab/>
        <w:tab/>
        <w:t xml:space="preserve">  The Haberdasher</w:t>
      </w:r>
    </w:p>
    <w:p w:rsidR="00000000" w:rsidDel="00000000" w:rsidP="00000000" w:rsidRDefault="00000000" w:rsidRPr="00000000" w14:paraId="0000000F">
      <w:pPr>
        <w:contextualSpacing w:val="0"/>
        <w:rPr>
          <w:b w:val="1"/>
        </w:rPr>
      </w:pPr>
      <w:r w:rsidDel="00000000" w:rsidR="00000000" w:rsidRPr="00000000">
        <w:rPr>
          <w:b w:val="1"/>
          <w:rtl w:val="0"/>
        </w:rPr>
        <w:t xml:space="preserve">The Nun’s Priest</w:t>
        <w:tab/>
        <w:tab/>
        <w:t xml:space="preserve">The Squire</w:t>
        <w:tab/>
        <w:tab/>
        <w:t xml:space="preserve">The Oxford Cleric       The Dyer</w:t>
      </w:r>
    </w:p>
    <w:p w:rsidR="00000000" w:rsidDel="00000000" w:rsidP="00000000" w:rsidRDefault="00000000" w:rsidRPr="00000000" w14:paraId="00000010">
      <w:pPr>
        <w:contextualSpacing w:val="0"/>
        <w:rPr>
          <w:b w:val="1"/>
        </w:rPr>
      </w:pPr>
      <w:r w:rsidDel="00000000" w:rsidR="00000000" w:rsidRPr="00000000">
        <w:rPr>
          <w:b w:val="1"/>
          <w:rtl w:val="0"/>
        </w:rPr>
        <w:t xml:space="preserve">The Monk</w:t>
        <w:tab/>
        <w:tab/>
        <w:tab/>
        <w:t xml:space="preserve">The Yeoman</w:t>
        <w:tab/>
        <w:tab/>
        <w:t xml:space="preserve">The Serjeant-at-law     The Carpenter</w:t>
      </w:r>
    </w:p>
    <w:p w:rsidR="00000000" w:rsidDel="00000000" w:rsidP="00000000" w:rsidRDefault="00000000" w:rsidRPr="00000000" w14:paraId="00000011">
      <w:pPr>
        <w:contextualSpacing w:val="0"/>
        <w:rPr>
          <w:b w:val="1"/>
        </w:rPr>
      </w:pPr>
      <w:r w:rsidDel="00000000" w:rsidR="00000000" w:rsidRPr="00000000">
        <w:rPr>
          <w:b w:val="1"/>
          <w:rtl w:val="0"/>
        </w:rPr>
        <w:t xml:space="preserve">The Friar</w:t>
        <w:tab/>
        <w:tab/>
        <w:tab/>
        <w:tab/>
        <w:tab/>
        <w:tab/>
        <w:t xml:space="preserve">The Franklin</w:t>
        <w:tab/>
        <w:tab/>
        <w:t xml:space="preserve">  The Weaver</w:t>
      </w:r>
    </w:p>
    <w:p w:rsidR="00000000" w:rsidDel="00000000" w:rsidP="00000000" w:rsidRDefault="00000000" w:rsidRPr="00000000" w14:paraId="00000012">
      <w:pPr>
        <w:contextualSpacing w:val="0"/>
        <w:rPr>
          <w:b w:val="1"/>
        </w:rPr>
      </w:pPr>
      <w:r w:rsidDel="00000000" w:rsidR="00000000" w:rsidRPr="00000000">
        <w:rPr>
          <w:b w:val="1"/>
          <w:rtl w:val="0"/>
        </w:rPr>
        <w:t xml:space="preserve">The Parson</w:t>
        <w:tab/>
        <w:tab/>
        <w:tab/>
        <w:tab/>
        <w:tab/>
        <w:tab/>
        <w:t xml:space="preserve">The Doctor</w:t>
        <w:tab/>
        <w:tab/>
        <w:tab/>
        <w:t xml:space="preserve">  The Carpet Maker</w:t>
      </w:r>
    </w:p>
    <w:p w:rsidR="00000000" w:rsidDel="00000000" w:rsidP="00000000" w:rsidRDefault="00000000" w:rsidRPr="00000000" w14:paraId="00000013">
      <w:pPr>
        <w:contextualSpacing w:val="0"/>
        <w:rPr>
          <w:b w:val="1"/>
        </w:rPr>
      </w:pPr>
      <w:r w:rsidDel="00000000" w:rsidR="00000000" w:rsidRPr="00000000">
        <w:rPr>
          <w:b w:val="1"/>
          <w:rtl w:val="0"/>
        </w:rPr>
        <w:tab/>
        <w:tab/>
        <w:tab/>
        <w:tab/>
        <w:tab/>
        <w:tab/>
        <w:tab/>
        <w:t xml:space="preserve">The Reeve</w:t>
        <w:tab/>
        <w:tab/>
        <w:tab/>
        <w:t xml:space="preserve">  The Cook</w:t>
      </w:r>
    </w:p>
    <w:p w:rsidR="00000000" w:rsidDel="00000000" w:rsidP="00000000" w:rsidRDefault="00000000" w:rsidRPr="00000000" w14:paraId="00000014">
      <w:pPr>
        <w:contextualSpacing w:val="0"/>
        <w:rPr>
          <w:b w:val="1"/>
        </w:rPr>
      </w:pPr>
      <w:r w:rsidDel="00000000" w:rsidR="00000000" w:rsidRPr="00000000">
        <w:rPr>
          <w:b w:val="1"/>
          <w:rtl w:val="0"/>
        </w:rPr>
        <w:tab/>
        <w:tab/>
        <w:tab/>
        <w:tab/>
        <w:tab/>
        <w:tab/>
        <w:tab/>
        <w:t xml:space="preserve">The Manciple</w:t>
        <w:tab/>
        <w:t xml:space="preserve">  </w:t>
        <w:tab/>
        <w:t xml:space="preserve">  The Skipper</w:t>
      </w:r>
    </w:p>
    <w:p w:rsidR="00000000" w:rsidDel="00000000" w:rsidP="00000000" w:rsidRDefault="00000000" w:rsidRPr="00000000" w14:paraId="00000015">
      <w:pPr>
        <w:contextualSpacing w:val="0"/>
        <w:rPr>
          <w:b w:val="1"/>
        </w:rPr>
      </w:pPr>
      <w:r w:rsidDel="00000000" w:rsidR="00000000" w:rsidRPr="00000000">
        <w:rPr>
          <w:b w:val="1"/>
          <w:rtl w:val="0"/>
        </w:rPr>
        <w:tab/>
        <w:tab/>
        <w:tab/>
        <w:tab/>
        <w:tab/>
        <w:tab/>
        <w:tab/>
        <w:t xml:space="preserve">The Pardoner</w:t>
        <w:tab/>
        <w:t xml:space="preserve">  </w:t>
        <w:tab/>
        <w:t xml:space="preserve">  The Wife of Bath</w:t>
      </w:r>
    </w:p>
    <w:p w:rsidR="00000000" w:rsidDel="00000000" w:rsidP="00000000" w:rsidRDefault="00000000" w:rsidRPr="00000000" w14:paraId="00000016">
      <w:pPr>
        <w:contextualSpacing w:val="0"/>
        <w:rPr>
          <w:b w:val="1"/>
        </w:rPr>
      </w:pPr>
      <w:r w:rsidDel="00000000" w:rsidR="00000000" w:rsidRPr="00000000">
        <w:rPr>
          <w:b w:val="1"/>
          <w:rtl w:val="0"/>
        </w:rPr>
        <w:tab/>
        <w:tab/>
        <w:tab/>
        <w:tab/>
        <w:tab/>
        <w:tab/>
        <w:tab/>
        <w:t xml:space="preserve">The Summoner</w:t>
        <w:tab/>
        <w:tab/>
        <w:t xml:space="preserve">  The Plowman</w:t>
      </w:r>
    </w:p>
    <w:p w:rsidR="00000000" w:rsidDel="00000000" w:rsidP="00000000" w:rsidRDefault="00000000" w:rsidRPr="00000000" w14:paraId="00000017">
      <w:pPr>
        <w:contextualSpacing w:val="0"/>
        <w:rPr>
          <w:b w:val="1"/>
        </w:rPr>
      </w:pPr>
      <w:r w:rsidDel="00000000" w:rsidR="00000000" w:rsidRPr="00000000">
        <w:rPr>
          <w:b w:val="1"/>
          <w:rtl w:val="0"/>
        </w:rPr>
        <w:tab/>
        <w:tab/>
        <w:tab/>
        <w:tab/>
        <w:tab/>
        <w:tab/>
        <w:tab/>
        <w:tab/>
        <w:tab/>
        <w:tab/>
        <w:tab/>
        <w:t xml:space="preserve">  The Miller</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ind w:left="90" w:firstLine="720"/>
        <w:contextualSpacing w:val="0"/>
        <w:rPr/>
      </w:pPr>
      <w:r w:rsidDel="00000000" w:rsidR="00000000" w:rsidRPr="00000000">
        <w:rPr>
          <w:rtl w:val="0"/>
        </w:rPr>
        <w:t xml:space="preserve">note the absence of the poor from Chaucer’s pilgrims - this is not surprising, since the peasant classes probably lacked the means to go on pilgrimage - they were almost entirely illiterate and could rarely, if ever, leave their farms.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left="90" w:firstLine="0"/>
        <w:contextualSpacing w:val="0"/>
        <w:rPr>
          <w:b w:val="1"/>
        </w:rPr>
      </w:pPr>
      <w:r w:rsidDel="00000000" w:rsidR="00000000" w:rsidRPr="00000000">
        <w:rPr>
          <w:rtl w:val="0"/>
        </w:rPr>
        <w:t xml:space="preserve">The pilgrimage is to the shrine of the Holy Martyr, Thomas a Becket, Archbishop of Canterbury, killed by the knights of King Henry II in the 12</w:t>
      </w:r>
      <w:r w:rsidDel="00000000" w:rsidR="00000000" w:rsidRPr="00000000">
        <w:rPr>
          <w:vertAlign w:val="superscript"/>
          <w:rtl w:val="0"/>
        </w:rPr>
        <w:t xml:space="preserve">th</w:t>
      </w:r>
      <w:r w:rsidDel="00000000" w:rsidR="00000000" w:rsidRPr="00000000">
        <w:rPr>
          <w:rtl w:val="0"/>
        </w:rPr>
        <w:t xml:space="preserve"> century.</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