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1731" w14:textId="77777777" w:rsidR="001400FA" w:rsidRPr="005D5F13" w:rsidRDefault="001400FA" w:rsidP="001400FA">
      <w:pPr>
        <w:pStyle w:val="Subtitle"/>
        <w:spacing w:before="300" w:after="300"/>
        <w:jc w:val="center"/>
        <w:rPr>
          <w:sz w:val="34"/>
          <w:szCs w:val="34"/>
        </w:rPr>
      </w:pPr>
      <w:bookmarkStart w:id="0" w:name="_kqp1ux31jr8g" w:colFirst="0" w:colLast="0"/>
      <w:bookmarkEnd w:id="0"/>
      <w:r w:rsidRPr="005D5F13">
        <w:rPr>
          <w:noProof/>
          <w:sz w:val="28"/>
          <w:szCs w:val="28"/>
        </w:rPr>
        <w:drawing>
          <wp:inline distT="114300" distB="114300" distL="114300" distR="114300" wp14:anchorId="7987D57C" wp14:editId="6B15F772">
            <wp:extent cx="5629275" cy="264795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b="10323"/>
                    <a:stretch>
                      <a:fillRect/>
                    </a:stretch>
                  </pic:blipFill>
                  <pic:spPr>
                    <a:xfrm>
                      <a:off x="0" y="0"/>
                      <a:ext cx="5629275" cy="2647950"/>
                    </a:xfrm>
                    <a:prstGeom prst="rect">
                      <a:avLst/>
                    </a:prstGeom>
                    <a:ln/>
                  </pic:spPr>
                </pic:pic>
              </a:graphicData>
            </a:graphic>
          </wp:inline>
        </w:drawing>
      </w:r>
      <w:r w:rsidRPr="005D5F13">
        <w:rPr>
          <w:sz w:val="34"/>
          <w:szCs w:val="34"/>
        </w:rPr>
        <w:t>TBA4220: Geospatial Analysis</w:t>
      </w:r>
    </w:p>
    <w:p w14:paraId="6B91799B" w14:textId="77777777" w:rsidR="001400FA" w:rsidRPr="005D5F13" w:rsidRDefault="001400FA" w:rsidP="001400FA">
      <w:pPr>
        <w:pStyle w:val="Subtitle"/>
        <w:spacing w:before="300" w:after="300"/>
        <w:jc w:val="center"/>
      </w:pPr>
      <w:bookmarkStart w:id="1" w:name="_iohwftkayh3y" w:colFirst="0" w:colLast="0"/>
      <w:bookmarkEnd w:id="1"/>
      <w:r w:rsidRPr="005D5F13">
        <w:t>AY 2026/27 Semester 1</w:t>
      </w:r>
    </w:p>
    <w:p w14:paraId="46F32219" w14:textId="77777777" w:rsidR="001400FA" w:rsidRPr="005D5F13" w:rsidRDefault="001400FA" w:rsidP="001400FA">
      <w:pPr>
        <w:jc w:val="center"/>
        <w:rPr>
          <w:rFonts w:ascii="Arial" w:eastAsia="Arial" w:hAnsi="Arial" w:cs="Arial"/>
          <w:color w:val="666666"/>
          <w:sz w:val="30"/>
          <w:szCs w:val="30"/>
          <w:lang w:val="en"/>
        </w:rPr>
      </w:pPr>
      <w:bookmarkStart w:id="2" w:name="_iw6zlgtkzqy0" w:colFirst="0" w:colLast="0"/>
      <w:bookmarkEnd w:id="2"/>
      <w:r w:rsidRPr="005D5F13">
        <w:rPr>
          <w:rFonts w:ascii="Arial" w:eastAsia="Arial" w:hAnsi="Arial" w:cs="Arial"/>
          <w:color w:val="666666"/>
          <w:sz w:val="30"/>
          <w:szCs w:val="30"/>
          <w:lang w:val="en"/>
        </w:rPr>
        <w:t>Project Proposal - Group 3 – Metropolitans</w:t>
      </w:r>
    </w:p>
    <w:p w14:paraId="786FFD68" w14:textId="77777777" w:rsidR="001400FA" w:rsidRPr="005D5F13" w:rsidRDefault="001400FA" w:rsidP="001400FA">
      <w:pPr>
        <w:jc w:val="center"/>
        <w:rPr>
          <w:rFonts w:ascii="Arial" w:eastAsia="Arial" w:hAnsi="Arial" w:cs="Arial"/>
          <w:color w:val="666666"/>
          <w:sz w:val="30"/>
          <w:szCs w:val="30"/>
          <w:lang w:val="en"/>
        </w:rPr>
      </w:pPr>
    </w:p>
    <w:p w14:paraId="7B59874C" w14:textId="77777777" w:rsidR="001400FA" w:rsidRPr="005D5F13" w:rsidRDefault="001400FA" w:rsidP="001400FA">
      <w:pPr>
        <w:jc w:val="center"/>
        <w:rPr>
          <w:rFonts w:ascii="Arial" w:eastAsia="Arial" w:hAnsi="Arial" w:cs="Arial"/>
          <w:b/>
          <w:bCs/>
          <w:sz w:val="52"/>
          <w:szCs w:val="52"/>
          <w:lang w:val="en"/>
        </w:rPr>
      </w:pPr>
      <w:bookmarkStart w:id="3" w:name="_i37gmf4q3myn" w:colFirst="0" w:colLast="0"/>
      <w:bookmarkEnd w:id="3"/>
      <w:r w:rsidRPr="005D5F13">
        <w:rPr>
          <w:rFonts w:ascii="Arial" w:eastAsia="Arial" w:hAnsi="Arial" w:cs="Arial"/>
          <w:b/>
          <w:bCs/>
          <w:sz w:val="52"/>
          <w:szCs w:val="52"/>
          <w:lang w:val="en"/>
        </w:rPr>
        <w:t>Whose 15-Minute City?</w:t>
      </w:r>
    </w:p>
    <w:p w14:paraId="34A86D04" w14:textId="77777777" w:rsidR="001400FA" w:rsidRPr="005D5F13" w:rsidRDefault="001400FA" w:rsidP="001400FA">
      <w:pPr>
        <w:jc w:val="center"/>
        <w:rPr>
          <w:rFonts w:ascii="Arial" w:eastAsia="Arial" w:hAnsi="Arial" w:cs="Arial"/>
          <w:b/>
          <w:bCs/>
          <w:sz w:val="52"/>
          <w:szCs w:val="52"/>
          <w:lang w:val="en"/>
        </w:rPr>
      </w:pPr>
    </w:p>
    <w:p w14:paraId="3C6AF66A" w14:textId="77777777" w:rsidR="001400FA" w:rsidRPr="005D5F13" w:rsidRDefault="001400FA" w:rsidP="001400FA">
      <w:pPr>
        <w:jc w:val="center"/>
        <w:rPr>
          <w:rFonts w:ascii="Arial" w:eastAsia="Arial" w:hAnsi="Arial" w:cs="Arial"/>
          <w:color w:val="666666"/>
          <w:sz w:val="30"/>
          <w:szCs w:val="30"/>
          <w:lang w:val="en"/>
        </w:rPr>
      </w:pPr>
      <w:proofErr w:type="spellStart"/>
      <w:r w:rsidRPr="005D5F13">
        <w:rPr>
          <w:rFonts w:ascii="Arial" w:eastAsia="Arial" w:hAnsi="Arial" w:cs="Arial"/>
          <w:color w:val="666666"/>
          <w:sz w:val="30"/>
          <w:szCs w:val="30"/>
          <w:lang w:val="en"/>
        </w:rPr>
        <w:t>Neighbourhood</w:t>
      </w:r>
      <w:proofErr w:type="spellEnd"/>
      <w:r w:rsidRPr="005D5F13">
        <w:rPr>
          <w:rFonts w:ascii="Arial" w:eastAsia="Arial" w:hAnsi="Arial" w:cs="Arial"/>
          <w:color w:val="666666"/>
          <w:sz w:val="30"/>
          <w:szCs w:val="30"/>
          <w:lang w:val="en"/>
        </w:rPr>
        <w:t xml:space="preserve"> Types and Walkable Access to Everyday Services in Singapore</w:t>
      </w:r>
    </w:p>
    <w:p w14:paraId="6E7C10AE" w14:textId="77777777" w:rsidR="001400FA" w:rsidRPr="005D5F13" w:rsidRDefault="001400FA" w:rsidP="001400FA">
      <w:pPr>
        <w:rPr>
          <w:rFonts w:ascii="Arial" w:hAnsi="Arial" w:cs="Arial"/>
        </w:rPr>
      </w:pPr>
    </w:p>
    <w:p w14:paraId="2898CAB0" w14:textId="77777777" w:rsidR="001400FA" w:rsidRPr="005D5F13" w:rsidRDefault="001400FA" w:rsidP="001400FA">
      <w:pPr>
        <w:rPr>
          <w:rFonts w:ascii="Arial" w:hAnsi="Arial" w:cs="Arial"/>
        </w:rPr>
      </w:pPr>
    </w:p>
    <w:p w14:paraId="08A495F0" w14:textId="77777777" w:rsidR="001400FA" w:rsidRPr="005D5F13" w:rsidRDefault="001400FA" w:rsidP="001400FA">
      <w:pPr>
        <w:rPr>
          <w:rFonts w:ascii="Arial" w:hAnsi="Arial" w:cs="Arial"/>
        </w:rPr>
      </w:pPr>
    </w:p>
    <w:p w14:paraId="2D18BD0E" w14:textId="77777777" w:rsidR="001400FA" w:rsidRPr="005D5F13" w:rsidRDefault="001400FA" w:rsidP="001400FA">
      <w:pPr>
        <w:rPr>
          <w:rFonts w:ascii="Arial" w:hAnsi="Arial" w:cs="Arial"/>
        </w:rPr>
      </w:pPr>
    </w:p>
    <w:p w14:paraId="291983A6" w14:textId="77777777" w:rsidR="001400FA" w:rsidRPr="005D5F13" w:rsidRDefault="001400FA" w:rsidP="001400FA">
      <w:pPr>
        <w:rPr>
          <w:rFonts w:ascii="Arial" w:hAnsi="Arial" w:cs="Arial"/>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400FA" w:rsidRPr="005D5F13" w14:paraId="193FED89" w14:textId="77777777" w:rsidTr="00EF7832">
        <w:trPr>
          <w:jc w:val="center"/>
        </w:trPr>
        <w:tc>
          <w:tcPr>
            <w:tcW w:w="4680" w:type="dxa"/>
            <w:tcBorders>
              <w:top w:val="single" w:sz="8" w:space="0" w:color="000000"/>
              <w:left w:val="single" w:sz="8" w:space="0" w:color="000000"/>
              <w:bottom w:val="single" w:sz="8" w:space="0" w:color="000000"/>
              <w:right w:val="single" w:sz="8" w:space="0" w:color="000000"/>
            </w:tcBorders>
          </w:tcPr>
          <w:p w14:paraId="52DC4EAC" w14:textId="77777777" w:rsidR="001400FA" w:rsidRPr="005D5F13" w:rsidRDefault="001400FA" w:rsidP="00EF7832">
            <w:pPr>
              <w:jc w:val="center"/>
              <w:rPr>
                <w:rFonts w:ascii="Arial" w:eastAsia="Times New Roman" w:hAnsi="Arial" w:cs="Arial"/>
                <w:b/>
                <w:bCs/>
                <w:sz w:val="26"/>
                <w:szCs w:val="26"/>
              </w:rPr>
            </w:pPr>
            <w:r w:rsidRPr="005D5F13">
              <w:rPr>
                <w:rFonts w:ascii="Arial" w:eastAsia="Times New Roman" w:hAnsi="Arial" w:cs="Arial"/>
                <w:b/>
                <w:bCs/>
                <w:sz w:val="26"/>
                <w:szCs w:val="26"/>
              </w:rPr>
              <w:t>Student Name</w:t>
            </w:r>
          </w:p>
        </w:tc>
        <w:tc>
          <w:tcPr>
            <w:tcW w:w="4680" w:type="dxa"/>
            <w:tcBorders>
              <w:top w:val="single" w:sz="8" w:space="0" w:color="000000"/>
              <w:left w:val="single" w:sz="8" w:space="0" w:color="000000"/>
              <w:bottom w:val="single" w:sz="8" w:space="0" w:color="000000"/>
              <w:right w:val="single" w:sz="8" w:space="0" w:color="000000"/>
            </w:tcBorders>
          </w:tcPr>
          <w:p w14:paraId="68C2EE61" w14:textId="77777777" w:rsidR="001400FA" w:rsidRPr="005D5F13" w:rsidRDefault="001400FA" w:rsidP="00EF7832">
            <w:pPr>
              <w:jc w:val="center"/>
              <w:rPr>
                <w:rFonts w:ascii="Arial" w:eastAsia="Times New Roman" w:hAnsi="Arial" w:cs="Arial"/>
                <w:b/>
                <w:bCs/>
                <w:sz w:val="26"/>
                <w:szCs w:val="26"/>
              </w:rPr>
            </w:pPr>
            <w:r w:rsidRPr="005D5F13">
              <w:rPr>
                <w:rFonts w:ascii="Arial" w:eastAsia="Times New Roman" w:hAnsi="Arial" w:cs="Arial"/>
                <w:b/>
                <w:bCs/>
                <w:sz w:val="26"/>
                <w:szCs w:val="26"/>
              </w:rPr>
              <w:t>Tentative Responsibility</w:t>
            </w:r>
          </w:p>
        </w:tc>
      </w:tr>
      <w:tr w:rsidR="001400FA" w:rsidRPr="005D5F13" w14:paraId="15E1A059" w14:textId="77777777" w:rsidTr="00EF7832">
        <w:trPr>
          <w:jc w:val="center"/>
        </w:trPr>
        <w:tc>
          <w:tcPr>
            <w:tcW w:w="4680" w:type="dxa"/>
            <w:tcBorders>
              <w:top w:val="single" w:sz="8" w:space="0" w:color="000000"/>
              <w:left w:val="single" w:sz="8" w:space="0" w:color="000000"/>
              <w:bottom w:val="single" w:sz="8" w:space="0" w:color="000000"/>
              <w:right w:val="single" w:sz="8" w:space="0" w:color="000000"/>
            </w:tcBorders>
          </w:tcPr>
          <w:p w14:paraId="448862A2" w14:textId="77777777" w:rsidR="001400FA" w:rsidRPr="005D5F13" w:rsidRDefault="001400FA" w:rsidP="00EF7832">
            <w:pPr>
              <w:jc w:val="center"/>
              <w:rPr>
                <w:rFonts w:ascii="Arial" w:eastAsia="Times New Roman" w:hAnsi="Arial" w:cs="Arial"/>
                <w:sz w:val="26"/>
                <w:szCs w:val="26"/>
              </w:rPr>
            </w:pPr>
            <w:r w:rsidRPr="005D5F13">
              <w:rPr>
                <w:rFonts w:ascii="Arial" w:eastAsia="Times New Roman" w:hAnsi="Arial" w:cs="Arial"/>
                <w:sz w:val="26"/>
                <w:szCs w:val="26"/>
              </w:rPr>
              <w:t>Qu Haotian</w:t>
            </w:r>
          </w:p>
        </w:tc>
        <w:tc>
          <w:tcPr>
            <w:tcW w:w="4680" w:type="dxa"/>
            <w:tcBorders>
              <w:top w:val="single" w:sz="8" w:space="0" w:color="000000"/>
              <w:left w:val="single" w:sz="8" w:space="0" w:color="000000"/>
              <w:bottom w:val="single" w:sz="8" w:space="0" w:color="000000"/>
              <w:right w:val="single" w:sz="8" w:space="0" w:color="000000"/>
            </w:tcBorders>
          </w:tcPr>
          <w:p w14:paraId="3F3CADBA" w14:textId="77777777" w:rsidR="001400FA" w:rsidRPr="005D5F13" w:rsidRDefault="001400FA" w:rsidP="00EF7832">
            <w:pPr>
              <w:jc w:val="center"/>
              <w:rPr>
                <w:rFonts w:ascii="Arial" w:eastAsia="Times New Roman" w:hAnsi="Arial" w:cs="Arial"/>
                <w:sz w:val="26"/>
                <w:szCs w:val="26"/>
              </w:rPr>
            </w:pPr>
            <w:r w:rsidRPr="005D5F13">
              <w:rPr>
                <w:rFonts w:ascii="Arial" w:hAnsi="Arial" w:cs="Arial"/>
                <w:sz w:val="17"/>
                <w:szCs w:val="17"/>
              </w:rPr>
              <w:t>The access score — extraction, weighting, distance calibration, coverage check, design</w:t>
            </w:r>
          </w:p>
        </w:tc>
      </w:tr>
      <w:tr w:rsidR="001400FA" w:rsidRPr="005D5F13" w14:paraId="7BF4655D" w14:textId="77777777" w:rsidTr="00EF7832">
        <w:trPr>
          <w:jc w:val="center"/>
        </w:trPr>
        <w:tc>
          <w:tcPr>
            <w:tcW w:w="4680" w:type="dxa"/>
            <w:tcBorders>
              <w:top w:val="single" w:sz="8" w:space="0" w:color="000000"/>
              <w:left w:val="single" w:sz="8" w:space="0" w:color="000000"/>
              <w:bottom w:val="single" w:sz="8" w:space="0" w:color="000000"/>
              <w:right w:val="single" w:sz="8" w:space="0" w:color="000000"/>
            </w:tcBorders>
          </w:tcPr>
          <w:p w14:paraId="0BD13FC4" w14:textId="77777777" w:rsidR="001400FA" w:rsidRPr="005D5F13" w:rsidRDefault="001400FA" w:rsidP="00EF7832">
            <w:pPr>
              <w:jc w:val="center"/>
              <w:rPr>
                <w:rFonts w:ascii="Arial" w:eastAsia="Times New Roman" w:hAnsi="Arial" w:cs="Arial"/>
                <w:sz w:val="26"/>
                <w:szCs w:val="26"/>
              </w:rPr>
            </w:pPr>
            <w:r w:rsidRPr="005D5F13">
              <w:rPr>
                <w:rFonts w:ascii="Arial" w:eastAsia="Times New Roman" w:hAnsi="Arial" w:cs="Arial"/>
                <w:sz w:val="26"/>
                <w:szCs w:val="26"/>
              </w:rPr>
              <w:t>Hew Xing Yi</w:t>
            </w:r>
          </w:p>
        </w:tc>
        <w:tc>
          <w:tcPr>
            <w:tcW w:w="4680" w:type="dxa"/>
            <w:tcBorders>
              <w:top w:val="single" w:sz="8" w:space="0" w:color="000000"/>
              <w:left w:val="single" w:sz="8" w:space="0" w:color="000000"/>
              <w:bottom w:val="single" w:sz="8" w:space="0" w:color="000000"/>
              <w:right w:val="single" w:sz="8" w:space="0" w:color="000000"/>
            </w:tcBorders>
          </w:tcPr>
          <w:p w14:paraId="7587F5FA" w14:textId="77777777" w:rsidR="001400FA" w:rsidRPr="005D5F13" w:rsidRDefault="001400FA" w:rsidP="00EF7832">
            <w:pPr>
              <w:jc w:val="center"/>
              <w:rPr>
                <w:rFonts w:ascii="Arial" w:eastAsia="Times New Roman" w:hAnsi="Arial" w:cs="Arial"/>
                <w:sz w:val="26"/>
                <w:szCs w:val="26"/>
              </w:rPr>
            </w:pPr>
            <w:r w:rsidRPr="005D5F13">
              <w:rPr>
                <w:rFonts w:ascii="Arial" w:hAnsi="Arial" w:cs="Arial"/>
                <w:sz w:val="17"/>
                <w:szCs w:val="17"/>
              </w:rPr>
              <w:t>Q1 — How is each category structured in space?</w:t>
            </w:r>
          </w:p>
        </w:tc>
      </w:tr>
      <w:tr w:rsidR="001400FA" w:rsidRPr="005D5F13" w14:paraId="1BFFF4E2" w14:textId="77777777" w:rsidTr="00EF7832">
        <w:trPr>
          <w:jc w:val="center"/>
        </w:trPr>
        <w:tc>
          <w:tcPr>
            <w:tcW w:w="4680" w:type="dxa"/>
            <w:tcBorders>
              <w:top w:val="single" w:sz="8" w:space="0" w:color="000000"/>
              <w:left w:val="single" w:sz="8" w:space="0" w:color="000000"/>
              <w:bottom w:val="single" w:sz="8" w:space="0" w:color="000000"/>
              <w:right w:val="single" w:sz="8" w:space="0" w:color="000000"/>
            </w:tcBorders>
          </w:tcPr>
          <w:p w14:paraId="69E19034" w14:textId="77777777" w:rsidR="001400FA" w:rsidRPr="005D5F13" w:rsidRDefault="001400FA" w:rsidP="00EF7832">
            <w:pPr>
              <w:jc w:val="center"/>
              <w:rPr>
                <w:rFonts w:ascii="Arial" w:eastAsia="Times New Roman" w:hAnsi="Arial" w:cs="Arial"/>
                <w:sz w:val="26"/>
                <w:szCs w:val="26"/>
              </w:rPr>
            </w:pPr>
            <w:r w:rsidRPr="005D5F13">
              <w:rPr>
                <w:rFonts w:ascii="Arial" w:eastAsia="Times New Roman" w:hAnsi="Arial" w:cs="Arial"/>
                <w:sz w:val="26"/>
                <w:szCs w:val="26"/>
              </w:rPr>
              <w:t>Zachary Chng Yao Wei</w:t>
            </w:r>
          </w:p>
        </w:tc>
        <w:tc>
          <w:tcPr>
            <w:tcW w:w="4680" w:type="dxa"/>
            <w:tcBorders>
              <w:top w:val="single" w:sz="8" w:space="0" w:color="000000"/>
              <w:left w:val="single" w:sz="8" w:space="0" w:color="000000"/>
              <w:bottom w:val="single" w:sz="8" w:space="0" w:color="000000"/>
              <w:right w:val="single" w:sz="8" w:space="0" w:color="000000"/>
            </w:tcBorders>
          </w:tcPr>
          <w:p w14:paraId="0D65F8A1" w14:textId="77777777" w:rsidR="001400FA" w:rsidRPr="005D5F13" w:rsidRDefault="001400FA" w:rsidP="00EF7832">
            <w:pPr>
              <w:jc w:val="center"/>
              <w:rPr>
                <w:rFonts w:ascii="Arial" w:eastAsia="Times New Roman" w:hAnsi="Arial" w:cs="Arial"/>
                <w:sz w:val="26"/>
                <w:szCs w:val="26"/>
              </w:rPr>
            </w:pPr>
            <w:r w:rsidRPr="005D5F13">
              <w:rPr>
                <w:rFonts w:ascii="Arial" w:hAnsi="Arial" w:cs="Arial"/>
                <w:sz w:val="17"/>
                <w:szCs w:val="17"/>
              </w:rPr>
              <w:t>Q2 — What explains access, and how much is just density?</w:t>
            </w:r>
          </w:p>
        </w:tc>
      </w:tr>
      <w:tr w:rsidR="001400FA" w:rsidRPr="005D5F13" w14:paraId="6B94178D" w14:textId="77777777" w:rsidTr="00EF7832">
        <w:trPr>
          <w:jc w:val="center"/>
        </w:trPr>
        <w:tc>
          <w:tcPr>
            <w:tcW w:w="4680" w:type="dxa"/>
            <w:tcBorders>
              <w:top w:val="single" w:sz="8" w:space="0" w:color="000000"/>
              <w:left w:val="single" w:sz="8" w:space="0" w:color="000000"/>
              <w:bottom w:val="single" w:sz="8" w:space="0" w:color="000000"/>
              <w:right w:val="single" w:sz="8" w:space="0" w:color="000000"/>
            </w:tcBorders>
          </w:tcPr>
          <w:p w14:paraId="45624503" w14:textId="77777777" w:rsidR="001400FA" w:rsidRPr="005D5F13" w:rsidRDefault="001400FA" w:rsidP="00EF7832">
            <w:pPr>
              <w:jc w:val="center"/>
              <w:rPr>
                <w:rFonts w:ascii="Arial" w:eastAsia="Times New Roman" w:hAnsi="Arial" w:cs="Arial"/>
                <w:sz w:val="26"/>
                <w:szCs w:val="26"/>
              </w:rPr>
            </w:pPr>
            <w:r w:rsidRPr="005D5F13">
              <w:rPr>
                <w:rFonts w:ascii="Arial" w:eastAsia="Times New Roman" w:hAnsi="Arial" w:cs="Arial"/>
                <w:sz w:val="26"/>
                <w:szCs w:val="26"/>
              </w:rPr>
              <w:t>Coltrane Yao Zhiming</w:t>
            </w:r>
          </w:p>
        </w:tc>
        <w:tc>
          <w:tcPr>
            <w:tcW w:w="4680" w:type="dxa"/>
            <w:tcBorders>
              <w:top w:val="single" w:sz="8" w:space="0" w:color="000000"/>
              <w:left w:val="single" w:sz="8" w:space="0" w:color="000000"/>
              <w:bottom w:val="single" w:sz="8" w:space="0" w:color="000000"/>
              <w:right w:val="single" w:sz="8" w:space="0" w:color="000000"/>
            </w:tcBorders>
          </w:tcPr>
          <w:p w14:paraId="65FE65CB" w14:textId="77777777" w:rsidR="001400FA" w:rsidRPr="005D5F13" w:rsidRDefault="001400FA" w:rsidP="00EF7832">
            <w:pPr>
              <w:jc w:val="center"/>
              <w:rPr>
                <w:rFonts w:ascii="Arial" w:eastAsia="Times New Roman" w:hAnsi="Arial" w:cs="Arial"/>
                <w:sz w:val="26"/>
                <w:szCs w:val="26"/>
              </w:rPr>
            </w:pPr>
            <w:r w:rsidRPr="005D5F13">
              <w:rPr>
                <w:rFonts w:ascii="Arial" w:hAnsi="Arial" w:cs="Arial"/>
                <w:sz w:val="17"/>
                <w:szCs w:val="17"/>
              </w:rPr>
              <w:t>Q3 — What kinds of neighbourhood exist? (target question)</w:t>
            </w:r>
          </w:p>
        </w:tc>
      </w:tr>
    </w:tbl>
    <w:p w14:paraId="2B587143" w14:textId="77777777" w:rsidR="001400FA" w:rsidRPr="005D5F13" w:rsidRDefault="001400FA" w:rsidP="001400FA">
      <w:pPr>
        <w:spacing w:before="240" w:after="60"/>
        <w:jc w:val="center"/>
        <w:rPr>
          <w:rFonts w:ascii="Arial" w:hAnsi="Arial" w:cs="Arial"/>
          <w:b/>
          <w:bCs/>
          <w:color w:val="1F3864"/>
          <w:sz w:val="40"/>
          <w:szCs w:val="40"/>
        </w:rPr>
      </w:pPr>
    </w:p>
    <w:p w14:paraId="7AFDE6B0" w14:textId="77777777" w:rsidR="001400FA" w:rsidRPr="005D5F13" w:rsidRDefault="001400FA" w:rsidP="001400FA">
      <w:pPr>
        <w:spacing w:before="240" w:after="60"/>
        <w:jc w:val="center"/>
        <w:rPr>
          <w:rFonts w:ascii="Arial" w:hAnsi="Arial" w:cs="Arial"/>
          <w:b/>
          <w:bCs/>
          <w:color w:val="1F3864"/>
          <w:sz w:val="40"/>
          <w:szCs w:val="40"/>
        </w:rPr>
      </w:pPr>
    </w:p>
    <w:p w14:paraId="7E1FB440" w14:textId="77777777" w:rsidR="001400FA" w:rsidRPr="005D5F13" w:rsidRDefault="001400FA" w:rsidP="001400FA">
      <w:pPr>
        <w:spacing w:before="240" w:after="60"/>
        <w:jc w:val="center"/>
        <w:rPr>
          <w:rFonts w:ascii="Arial" w:hAnsi="Arial" w:cs="Arial"/>
          <w:b/>
          <w:bCs/>
          <w:color w:val="1F3864"/>
          <w:sz w:val="40"/>
          <w:szCs w:val="40"/>
        </w:rPr>
      </w:pPr>
    </w:p>
    <w:p w14:paraId="04100AB9" w14:textId="77777777" w:rsidR="001400FA" w:rsidRPr="005D5F13" w:rsidRDefault="001400FA" w:rsidP="001400FA">
      <w:pPr>
        <w:spacing w:before="240" w:after="60"/>
        <w:jc w:val="center"/>
        <w:rPr>
          <w:rFonts w:ascii="Arial" w:hAnsi="Arial" w:cs="Arial"/>
          <w:b/>
          <w:bCs/>
          <w:color w:val="1F3864"/>
          <w:sz w:val="40"/>
          <w:szCs w:val="40"/>
        </w:rPr>
      </w:pPr>
    </w:p>
    <w:p w14:paraId="7D6ABA2E" w14:textId="77777777" w:rsidR="002C685F" w:rsidRPr="005D5F13" w:rsidRDefault="002C685F">
      <w:pPr>
        <w:spacing w:line="120" w:lineRule="auto"/>
        <w:rPr>
          <w:rFonts w:ascii="Arial" w:hAnsi="Arial" w:cs="Arial"/>
        </w:rPr>
      </w:pPr>
    </w:p>
    <w:p w14:paraId="7D6ABA2F" w14:textId="77777777" w:rsidR="002C685F" w:rsidRPr="005D5F13" w:rsidRDefault="00000000">
      <w:pPr>
        <w:pStyle w:val="Heading1"/>
        <w:spacing w:before="190" w:after="90"/>
        <w:rPr>
          <w:rFonts w:ascii="Arial" w:hAnsi="Arial" w:cs="Arial"/>
        </w:rPr>
      </w:pPr>
      <w:r w:rsidRPr="005D5F13">
        <w:rPr>
          <w:rFonts w:ascii="Arial" w:hAnsi="Arial" w:cs="Arial"/>
          <w:b/>
          <w:bCs/>
          <w:color w:val="1F3864"/>
          <w:sz w:val="23"/>
          <w:szCs w:val="23"/>
        </w:rPr>
        <w:lastRenderedPageBreak/>
        <w:t>Abstract</w:t>
      </w:r>
    </w:p>
    <w:p w14:paraId="7D6ABA30" w14:textId="77777777" w:rsidR="002C685F" w:rsidRPr="005D5F13" w:rsidRDefault="00000000">
      <w:pPr>
        <w:spacing w:after="90" w:line="230" w:lineRule="auto"/>
        <w:jc w:val="both"/>
        <w:rPr>
          <w:rFonts w:ascii="Arial" w:hAnsi="Arial" w:cs="Arial"/>
        </w:rPr>
      </w:pPr>
      <w:r w:rsidRPr="005D5F13">
        <w:rPr>
          <w:rFonts w:ascii="Arial" w:hAnsi="Arial" w:cs="Arial"/>
        </w:rPr>
        <w:t>This project measures how easily residents can walk to the everyday services they need. For every subzone in Singapore, we target to build an access score from six categories of service — food services, retail goods, health, food retail, education and recreation — locating facilities with OpenStreetMap and weighting each category by its share of household spending in the official expenditure survey. Building that score and checking how completely OpenStreetMap covers Singapore as part of the preparation. Al</w:t>
      </w:r>
      <w:r w:rsidRPr="005D5F13">
        <w:rPr>
          <w:rFonts w:ascii="Arial" w:hAnsi="Arial" w:cs="Arial"/>
        </w:rPr>
        <w:t>ong with three questions build toward a single target: what kinds of neighbourhood exist, and does the same set appear in towns planned in different eras? Q1 measures how each category is structured in space. Q2 identifies what explains access, and how much of it is simply population density. Q3 groups subzones into neighbourhood types by k-means, resampled according to the structure Q1 finds, and tests whether the mix of types differs between mature and non-mature towns and whether any type is systematical</w:t>
      </w:r>
      <w:r w:rsidRPr="005D5F13">
        <w:rPr>
          <w:rFonts w:ascii="Arial" w:hAnsi="Arial" w:cs="Arial"/>
        </w:rPr>
        <w:t>ly under-served relative to Q2's model.</w:t>
      </w:r>
    </w:p>
    <w:p w14:paraId="7D6ABA31" w14:textId="77777777" w:rsidR="002C685F" w:rsidRPr="005D5F13" w:rsidRDefault="00000000">
      <w:pPr>
        <w:pStyle w:val="Heading1"/>
        <w:spacing w:before="190" w:after="90"/>
        <w:rPr>
          <w:rFonts w:ascii="Arial" w:hAnsi="Arial" w:cs="Arial"/>
        </w:rPr>
      </w:pPr>
      <w:r w:rsidRPr="005D5F13">
        <w:rPr>
          <w:rFonts w:ascii="Arial" w:hAnsi="Arial" w:cs="Arial"/>
          <w:b/>
          <w:bCs/>
          <w:color w:val="1F3864"/>
          <w:sz w:val="23"/>
          <w:szCs w:val="23"/>
        </w:rPr>
        <w:t>Objective</w:t>
      </w:r>
    </w:p>
    <w:p w14:paraId="7D6ABA32"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The target question. </w:t>
      </w:r>
      <w:r w:rsidRPr="005D5F13">
        <w:rPr>
          <w:rFonts w:ascii="Arial" w:hAnsi="Arial" w:cs="Arial"/>
        </w:rPr>
        <w:t xml:space="preserve">Everything builds toward Q3: what kinds of neighbourhood exist, and does the same set appear in towns built under different provision norms? A typology is the only question here that uses all six category scores at once rather than collapsing them into a single index — and it is also the most fragile, because clustering has no ground truth. A typology can easily turn out to be the population density gradient under another name, or nothing stable at all. The two questions before it </w:t>
      </w:r>
      <w:proofErr w:type="gramStart"/>
      <w:r w:rsidRPr="005D5F13">
        <w:rPr>
          <w:rFonts w:ascii="Arial" w:hAnsi="Arial" w:cs="Arial"/>
        </w:rPr>
        <w:t>close</w:t>
      </w:r>
      <w:proofErr w:type="gramEnd"/>
      <w:r w:rsidRPr="005D5F13">
        <w:rPr>
          <w:rFonts w:ascii="Arial" w:hAnsi="Arial" w:cs="Arial"/>
        </w:rPr>
        <w:t xml:space="preserve"> off those failure mo</w:t>
      </w:r>
      <w:r w:rsidRPr="005D5F13">
        <w:rPr>
          <w:rFonts w:ascii="Arial" w:hAnsi="Arial" w:cs="Arial"/>
        </w:rPr>
        <w:t>des in turn. Q1 establishes each category's spatial structure, which governs how Q3 resamples and which test it may use. Q2 measures how much of access is simply density, which decides whether Q3 clusters on raw or density-adjusted scores, and supplies the residuals against which Q3 tests for under-service. Each of the three is owned by one member and settled by a test rather than by looking at a map. The fourth member owns the score itself, which is the largest single piece of construction in the project a</w:t>
      </w:r>
      <w:r w:rsidRPr="005D5F13">
        <w:rPr>
          <w:rFonts w:ascii="Arial" w:hAnsi="Arial" w:cs="Arial"/>
        </w:rPr>
        <w:t>nd the input every question depends on.</w:t>
      </w:r>
    </w:p>
    <w:p w14:paraId="7D6ABA33"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Why this topic. </w:t>
      </w:r>
      <w:r w:rsidRPr="005D5F13">
        <w:rPr>
          <w:rFonts w:ascii="Arial" w:hAnsi="Arial" w:cs="Arial"/>
        </w:rPr>
        <w:t>Singapore's Land Transport Master Plan aims for “20-minute towns and a 45-minute city” [1], and similar proximity targets now appear in plans worldwide following the 15-minute city framing [2]. Testing one needs a decision usually made casually: how much is each type of service worth? A clinic and a karaoke bar are plainly not equal but scoring them 9 and 6 out of 10 because those feel about right is not much better. We take the weights from the household expenditure survey, which records what households ac</w:t>
      </w:r>
      <w:r w:rsidRPr="005D5F13">
        <w:rPr>
          <w:rFonts w:ascii="Arial" w:hAnsi="Arial" w:cs="Arial"/>
        </w:rPr>
        <w:t>tually spend.</w:t>
      </w:r>
    </w:p>
    <w:p w14:paraId="7D6ABA34"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The comparison. </w:t>
      </w:r>
      <w:r w:rsidRPr="005D5F13">
        <w:rPr>
          <w:rFonts w:ascii="Arial" w:hAnsi="Arial" w:cs="Arial"/>
        </w:rPr>
        <w:t>The default comparison is within Singapore: mature versus non-mature HDB towns. This is a historical classification, retired by HDB in 2024 when the Standard–Plus–Prime framework replaced it [3], so we fix the list explicitly and treat it as given rather than as current policy; towns built in different eras under different provision norms are a usable natural experiment. A comparison with Hong Kong is carried as an optional extension and is restricted to Q1 and Q3, because those are the two questions that s</w:t>
      </w:r>
      <w:r w:rsidRPr="005D5F13">
        <w:rPr>
          <w:rFonts w:ascii="Arial" w:hAnsi="Arial" w:cs="Arial"/>
        </w:rPr>
        <w:t>urvive unvalidated data — Moran's I and cluster composition are both relative measures, largely preserved under uniform under-mapping, whereas Q2's coefficients are sensitive to the level of the counts. Any Hong Kong result is reported as provisional, with OpenStreetMap contributor density as the only available comparability check.</w:t>
      </w:r>
    </w:p>
    <w:p w14:paraId="7D6ABA35"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Q1 — How is each category structured in space? </w:t>
      </w:r>
      <w:r w:rsidRPr="005D5F13">
        <w:rPr>
          <w:rFonts w:ascii="Arial" w:hAnsi="Arial" w:cs="Arial"/>
        </w:rPr>
        <w:t>H</w:t>
      </w:r>
      <w:r w:rsidRPr="005D5F13">
        <w:rPr>
          <w:rFonts w:ascii="Cambria Math" w:hAnsi="Cambria Math" w:cs="Cambria Math"/>
        </w:rPr>
        <w:t>₀</w:t>
      </w:r>
      <w:r w:rsidRPr="005D5F13">
        <w:rPr>
          <w:rFonts w:ascii="Arial" w:hAnsi="Arial" w:cs="Arial"/>
        </w:rPr>
        <w:t>: Moran's I = 0, run per category rather than only on the composite score. The per-category form is what Q3 needs. A category with strong autocorrelation will produce neighbourhood types that form contiguous regions; a category concentrated at a scale below the subzone — tuition centres inside malls, for instance — will instead throw a handful of extreme subzones into a group of their own, which is an outlier and not a kind of neighbourhood.</w:t>
      </w:r>
    </w:p>
    <w:p w14:paraId="7D6ABA36"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Q2 — What explains access, and how much of it is just density? </w:t>
      </w:r>
      <w:r w:rsidRPr="005D5F13">
        <w:rPr>
          <w:rFonts w:ascii="Arial" w:hAnsi="Arial" w:cs="Arial"/>
        </w:rPr>
        <w:t>We regress the score on elderly share, housing mix, population density and distance to transit. H</w:t>
      </w:r>
      <w:r w:rsidRPr="005D5F13">
        <w:rPr>
          <w:rFonts w:ascii="Cambria Math" w:hAnsi="Cambria Math" w:cs="Cambria Math"/>
        </w:rPr>
        <w:t>₀</w:t>
      </w:r>
      <w:r w:rsidRPr="005D5F13">
        <w:rPr>
          <w:rFonts w:ascii="Arial" w:hAnsi="Arial" w:cs="Arial"/>
        </w:rPr>
        <w:t xml:space="preserve">: the coefficients on elderly share and housing mix are zero, against one-sided alternatives (negative for elderly share). Ordinary least squares first; if the residuals prove spatially </w:t>
      </w:r>
      <w:proofErr w:type="gramStart"/>
      <w:r w:rsidRPr="005D5F13">
        <w:rPr>
          <w:rFonts w:ascii="Arial" w:hAnsi="Arial" w:cs="Arial"/>
        </w:rPr>
        <w:t>correlated</w:t>
      </w:r>
      <w:proofErr w:type="gramEnd"/>
      <w:r w:rsidRPr="005D5F13">
        <w:rPr>
          <w:rFonts w:ascii="Arial" w:hAnsi="Arial" w:cs="Arial"/>
        </w:rPr>
        <w:t xml:space="preserve"> we refit as a spatial error model. Two of this question's outputs exist for Q3 rather than for itself: the share of variance attributable to population density alone, and the per-subzone residuals. Shops go where peop</w:t>
      </w:r>
      <w:r w:rsidRPr="005D5F13">
        <w:rPr>
          <w:rFonts w:ascii="Arial" w:hAnsi="Arial" w:cs="Arial"/>
        </w:rPr>
        <w:t>le are, so density will almost certainly come out strongly positive — that is a control, not a finding, and it is treated as one. Subzones with almost no residents are dropped and we report how many remain.</w:t>
      </w:r>
    </w:p>
    <w:p w14:paraId="7D6ABA37"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Q3 — What kinds of neighbourhood </w:t>
      </w:r>
      <w:proofErr w:type="gramStart"/>
      <w:r w:rsidRPr="005D5F13">
        <w:rPr>
          <w:rFonts w:ascii="Arial" w:hAnsi="Arial" w:cs="Arial"/>
          <w:b/>
          <w:bCs/>
        </w:rPr>
        <w:t>exist, and</w:t>
      </w:r>
      <w:proofErr w:type="gramEnd"/>
      <w:r w:rsidRPr="005D5F13">
        <w:rPr>
          <w:rFonts w:ascii="Arial" w:hAnsi="Arial" w:cs="Arial"/>
          <w:b/>
          <w:bCs/>
        </w:rPr>
        <w:t xml:space="preserve"> do both kinds of town have the same ones? </w:t>
      </w:r>
      <w:r w:rsidRPr="005D5F13">
        <w:rPr>
          <w:rFonts w:ascii="Arial" w:hAnsi="Arial" w:cs="Arial"/>
        </w:rPr>
        <w:t>k-means on the six category scores — unsupervised learning, with no labels to train on — computed on density-adjusted scores if Q2 finds density dominant, since otherwise a typology risks being a rediscovery of the density gradient. The number of groups is chosen by elbow and silhouette, and stability is confirmed by spatial block bootstrap rather than random resampling, because neighbouring subzones are near-duplicates and random folds would overstate stability. Two hypotheses. H</w:t>
      </w:r>
      <w:r w:rsidRPr="005D5F13">
        <w:rPr>
          <w:rFonts w:ascii="Cambria Math" w:hAnsi="Cambria Math" w:cs="Cambria Math"/>
        </w:rPr>
        <w:t>₀</w:t>
      </w:r>
      <w:r w:rsidRPr="005D5F13">
        <w:rPr>
          <w:rFonts w:ascii="Arial" w:hAnsi="Arial" w:cs="Arial"/>
        </w:rPr>
        <w:t>(a): the mix of neighbourh</w:t>
      </w:r>
      <w:r w:rsidRPr="005D5F13">
        <w:rPr>
          <w:rFonts w:ascii="Arial" w:hAnsi="Arial" w:cs="Arial"/>
        </w:rPr>
        <w:t>ood types is the same in mature and non-mature towns. H</w:t>
      </w:r>
      <w:r w:rsidRPr="005D5F13">
        <w:rPr>
          <w:rFonts w:ascii="Cambria Math" w:hAnsi="Cambria Math" w:cs="Cambria Math"/>
        </w:rPr>
        <w:t>₀</w:t>
      </w:r>
      <w:r w:rsidRPr="005D5F13">
        <w:rPr>
          <w:rFonts w:ascii="Arial" w:hAnsi="Arial" w:cs="Arial"/>
        </w:rPr>
        <w:t>(b): cluster membership is unrelated to Q2's residuals — that is, no type is systematically under-served relative to what its population would predict. Groups that move under resampling are reported as unstable rather than named.</w:t>
      </w:r>
    </w:p>
    <w:p w14:paraId="7D6ABA38" w14:textId="77777777" w:rsidR="002C685F" w:rsidRPr="005D5F13" w:rsidRDefault="00000000">
      <w:pPr>
        <w:pStyle w:val="Heading1"/>
        <w:spacing w:before="190" w:after="90"/>
        <w:rPr>
          <w:rFonts w:ascii="Arial" w:hAnsi="Arial" w:cs="Arial"/>
        </w:rPr>
      </w:pPr>
      <w:r w:rsidRPr="005D5F13">
        <w:rPr>
          <w:rFonts w:ascii="Arial" w:hAnsi="Arial" w:cs="Arial"/>
          <w:b/>
          <w:bCs/>
          <w:color w:val="1F3864"/>
          <w:sz w:val="23"/>
          <w:szCs w:val="23"/>
        </w:rPr>
        <w:t>Data</w:t>
      </w:r>
    </w:p>
    <w:p w14:paraId="7D6ABA39" w14:textId="77777777" w:rsidR="002C685F" w:rsidRPr="005D5F13" w:rsidRDefault="00000000">
      <w:pPr>
        <w:spacing w:after="90" w:line="230" w:lineRule="auto"/>
        <w:jc w:val="both"/>
        <w:rPr>
          <w:rFonts w:ascii="Arial" w:hAnsi="Arial" w:cs="Arial"/>
        </w:rPr>
      </w:pPr>
      <w:r w:rsidRPr="005D5F13">
        <w:rPr>
          <w:rFonts w:ascii="Arial" w:hAnsi="Arial" w:cs="Arial"/>
        </w:rPr>
        <w:t>Five open sources for the core project, all free to download and none requiring an application or licence, plus one more if the Hong Kong extension runs. OpenStreetMap supplies every facility location. The ECDA listing is not a source of amenity data: it is used once, for the coverage check described below.</w:t>
      </w:r>
    </w:p>
    <w:p w14:paraId="7D6ABA3A" w14:textId="77777777" w:rsidR="002C685F" w:rsidRPr="005D5F13" w:rsidRDefault="00000000">
      <w:pPr>
        <w:spacing w:before="120" w:after="60" w:line="210" w:lineRule="auto"/>
        <w:rPr>
          <w:rFonts w:ascii="Arial" w:hAnsi="Arial" w:cs="Arial"/>
        </w:rPr>
      </w:pPr>
      <w:r w:rsidRPr="005D5F13">
        <w:rPr>
          <w:rFonts w:ascii="Arial" w:hAnsi="Arial" w:cs="Arial"/>
          <w:b/>
          <w:bCs/>
          <w:sz w:val="17"/>
          <w:szCs w:val="17"/>
        </w:rPr>
        <w:t>Table 1. Open datasets used, with sources.</w:t>
      </w:r>
    </w:p>
    <w:tbl>
      <w:tblPr>
        <w:tblW w:w="9746" w:type="dxa"/>
        <w:tblBorders>
          <w:top w:val="single" w:sz="2" w:space="0" w:color="AAAAAA"/>
          <w:bottom w:val="single" w:sz="2" w:space="0" w:color="AAAAAA"/>
          <w:insideH w:val="single" w:sz="1" w:space="0" w:color="D9D9D9"/>
        </w:tblBorders>
        <w:tblCellMar>
          <w:left w:w="10" w:type="dxa"/>
          <w:right w:w="10" w:type="dxa"/>
        </w:tblCellMar>
        <w:tblLook w:val="0000" w:firstRow="0" w:lastRow="0" w:firstColumn="0" w:lastColumn="0" w:noHBand="0" w:noVBand="0"/>
      </w:tblPr>
      <w:tblGrid>
        <w:gridCol w:w="2450"/>
        <w:gridCol w:w="2350"/>
        <w:gridCol w:w="4946"/>
      </w:tblGrid>
      <w:tr w:rsidR="002C685F" w:rsidRPr="005D5F13" w14:paraId="7D6ABA3E" w14:textId="77777777">
        <w:trPr>
          <w:tblHeader/>
        </w:trPr>
        <w:tc>
          <w:tcPr>
            <w:tcW w:w="2450" w:type="dxa"/>
            <w:shd w:val="clear" w:color="auto" w:fill="F2F2F2"/>
            <w:tcMar>
              <w:top w:w="50" w:type="dxa"/>
              <w:left w:w="80" w:type="dxa"/>
              <w:bottom w:w="50" w:type="dxa"/>
              <w:right w:w="80" w:type="dxa"/>
            </w:tcMar>
          </w:tcPr>
          <w:p w14:paraId="7D6ABA3B" w14:textId="77777777" w:rsidR="002C685F" w:rsidRPr="005D5F13" w:rsidRDefault="00000000">
            <w:pPr>
              <w:spacing w:line="210" w:lineRule="auto"/>
              <w:rPr>
                <w:rFonts w:ascii="Arial" w:hAnsi="Arial" w:cs="Arial"/>
              </w:rPr>
            </w:pPr>
            <w:r w:rsidRPr="005D5F13">
              <w:rPr>
                <w:rFonts w:ascii="Arial" w:hAnsi="Arial" w:cs="Arial"/>
                <w:b/>
                <w:bCs/>
                <w:sz w:val="17"/>
                <w:szCs w:val="17"/>
              </w:rPr>
              <w:lastRenderedPageBreak/>
              <w:t>Dataset</w:t>
            </w:r>
          </w:p>
        </w:tc>
        <w:tc>
          <w:tcPr>
            <w:tcW w:w="2350" w:type="dxa"/>
            <w:shd w:val="clear" w:color="auto" w:fill="F2F2F2"/>
            <w:tcMar>
              <w:top w:w="50" w:type="dxa"/>
              <w:left w:w="80" w:type="dxa"/>
              <w:bottom w:w="50" w:type="dxa"/>
              <w:right w:w="80" w:type="dxa"/>
            </w:tcMar>
          </w:tcPr>
          <w:p w14:paraId="7D6ABA3C" w14:textId="77777777" w:rsidR="002C685F" w:rsidRPr="005D5F13" w:rsidRDefault="00000000">
            <w:pPr>
              <w:spacing w:line="210" w:lineRule="auto"/>
              <w:rPr>
                <w:rFonts w:ascii="Arial" w:hAnsi="Arial" w:cs="Arial"/>
              </w:rPr>
            </w:pPr>
            <w:r w:rsidRPr="005D5F13">
              <w:rPr>
                <w:rFonts w:ascii="Arial" w:hAnsi="Arial" w:cs="Arial"/>
                <w:b/>
                <w:bCs/>
                <w:sz w:val="17"/>
                <w:szCs w:val="17"/>
              </w:rPr>
              <w:t>Source</w:t>
            </w:r>
          </w:p>
        </w:tc>
        <w:tc>
          <w:tcPr>
            <w:tcW w:w="4946" w:type="dxa"/>
            <w:shd w:val="clear" w:color="auto" w:fill="F2F2F2"/>
            <w:tcMar>
              <w:top w:w="50" w:type="dxa"/>
              <w:left w:w="80" w:type="dxa"/>
              <w:bottom w:w="50" w:type="dxa"/>
              <w:right w:w="80" w:type="dxa"/>
            </w:tcMar>
          </w:tcPr>
          <w:p w14:paraId="7D6ABA3D" w14:textId="77777777" w:rsidR="002C685F" w:rsidRPr="005D5F13" w:rsidRDefault="00000000">
            <w:pPr>
              <w:spacing w:line="210" w:lineRule="auto"/>
              <w:rPr>
                <w:rFonts w:ascii="Arial" w:hAnsi="Arial" w:cs="Arial"/>
              </w:rPr>
            </w:pPr>
            <w:r w:rsidRPr="005D5F13">
              <w:rPr>
                <w:rFonts w:ascii="Arial" w:hAnsi="Arial" w:cs="Arial"/>
                <w:b/>
                <w:bCs/>
                <w:sz w:val="17"/>
                <w:szCs w:val="17"/>
              </w:rPr>
              <w:t>What we use it for</w:t>
            </w:r>
          </w:p>
        </w:tc>
      </w:tr>
      <w:tr w:rsidR="002C685F" w:rsidRPr="005D5F13" w14:paraId="7D6ABA42" w14:textId="77777777">
        <w:tc>
          <w:tcPr>
            <w:tcW w:w="2450" w:type="dxa"/>
            <w:tcMar>
              <w:top w:w="50" w:type="dxa"/>
              <w:left w:w="80" w:type="dxa"/>
              <w:bottom w:w="50" w:type="dxa"/>
              <w:right w:w="80" w:type="dxa"/>
            </w:tcMar>
          </w:tcPr>
          <w:p w14:paraId="7D6ABA3F" w14:textId="77777777" w:rsidR="002C685F" w:rsidRPr="005D5F13" w:rsidRDefault="00000000">
            <w:pPr>
              <w:spacing w:line="210" w:lineRule="auto"/>
              <w:rPr>
                <w:rFonts w:ascii="Arial" w:hAnsi="Arial" w:cs="Arial"/>
              </w:rPr>
            </w:pPr>
            <w:r w:rsidRPr="005D5F13">
              <w:rPr>
                <w:rFonts w:ascii="Arial" w:hAnsi="Arial" w:cs="Arial"/>
                <w:sz w:val="17"/>
                <w:szCs w:val="17"/>
              </w:rPr>
              <w:t>Amenity points in six categories, and the footway network</w:t>
            </w:r>
          </w:p>
        </w:tc>
        <w:tc>
          <w:tcPr>
            <w:tcW w:w="2350" w:type="dxa"/>
            <w:tcMar>
              <w:top w:w="50" w:type="dxa"/>
              <w:left w:w="80" w:type="dxa"/>
              <w:bottom w:w="50" w:type="dxa"/>
              <w:right w:w="80" w:type="dxa"/>
            </w:tcMar>
          </w:tcPr>
          <w:p w14:paraId="7D6ABA40" w14:textId="77777777" w:rsidR="002C685F" w:rsidRPr="005D5F13" w:rsidRDefault="00000000">
            <w:pPr>
              <w:spacing w:line="210" w:lineRule="auto"/>
              <w:rPr>
                <w:rFonts w:ascii="Arial" w:hAnsi="Arial" w:cs="Arial"/>
              </w:rPr>
            </w:pPr>
            <w:r w:rsidRPr="005D5F13">
              <w:rPr>
                <w:rFonts w:ascii="Arial" w:hAnsi="Arial" w:cs="Arial"/>
                <w:sz w:val="17"/>
                <w:szCs w:val="17"/>
              </w:rPr>
              <w:t xml:space="preserve">OpenStreetMap, via Overpass / </w:t>
            </w:r>
            <w:proofErr w:type="spellStart"/>
            <w:r w:rsidRPr="005D5F13">
              <w:rPr>
                <w:rFonts w:ascii="Arial" w:hAnsi="Arial" w:cs="Arial"/>
                <w:sz w:val="17"/>
                <w:szCs w:val="17"/>
              </w:rPr>
              <w:t>Geofabrik</w:t>
            </w:r>
            <w:proofErr w:type="spellEnd"/>
            <w:r w:rsidRPr="005D5F13">
              <w:rPr>
                <w:rFonts w:ascii="Arial" w:hAnsi="Arial" w:cs="Arial"/>
                <w:sz w:val="17"/>
                <w:szCs w:val="17"/>
              </w:rPr>
              <w:t xml:space="preserve"> [4]</w:t>
            </w:r>
          </w:p>
        </w:tc>
        <w:tc>
          <w:tcPr>
            <w:tcW w:w="4946" w:type="dxa"/>
            <w:tcMar>
              <w:top w:w="50" w:type="dxa"/>
              <w:left w:w="80" w:type="dxa"/>
              <w:bottom w:w="50" w:type="dxa"/>
              <w:right w:w="80" w:type="dxa"/>
            </w:tcMar>
          </w:tcPr>
          <w:p w14:paraId="7D6ABA41" w14:textId="77777777" w:rsidR="002C685F" w:rsidRPr="005D5F13" w:rsidRDefault="00000000">
            <w:pPr>
              <w:spacing w:line="210" w:lineRule="auto"/>
              <w:rPr>
                <w:rFonts w:ascii="Arial" w:hAnsi="Arial" w:cs="Arial"/>
              </w:rPr>
            </w:pPr>
            <w:r w:rsidRPr="005D5F13">
              <w:rPr>
                <w:rFonts w:ascii="Arial" w:hAnsi="Arial" w:cs="Arial"/>
                <w:sz w:val="17"/>
                <w:szCs w:val="17"/>
              </w:rPr>
              <w:t>Locating every facility; the same download supplies the footpaths used to check the distance approximation</w:t>
            </w:r>
          </w:p>
        </w:tc>
      </w:tr>
      <w:tr w:rsidR="002C685F" w:rsidRPr="005D5F13" w14:paraId="7D6ABA46" w14:textId="77777777">
        <w:tc>
          <w:tcPr>
            <w:tcW w:w="2450" w:type="dxa"/>
            <w:tcMar>
              <w:top w:w="50" w:type="dxa"/>
              <w:left w:w="80" w:type="dxa"/>
              <w:bottom w:w="50" w:type="dxa"/>
              <w:right w:w="80" w:type="dxa"/>
            </w:tcMar>
          </w:tcPr>
          <w:p w14:paraId="7D6ABA43" w14:textId="77777777" w:rsidR="002C685F" w:rsidRPr="005D5F13" w:rsidRDefault="00000000">
            <w:pPr>
              <w:spacing w:line="210" w:lineRule="auto"/>
              <w:rPr>
                <w:rFonts w:ascii="Arial" w:hAnsi="Arial" w:cs="Arial"/>
              </w:rPr>
            </w:pPr>
            <w:r w:rsidRPr="005D5F13">
              <w:rPr>
                <w:rFonts w:ascii="Arial" w:hAnsi="Arial" w:cs="Arial"/>
                <w:sz w:val="17"/>
                <w:szCs w:val="17"/>
              </w:rPr>
              <w:t>Child Care Services and Kindergartens listings</w:t>
            </w:r>
          </w:p>
        </w:tc>
        <w:tc>
          <w:tcPr>
            <w:tcW w:w="2350" w:type="dxa"/>
            <w:tcMar>
              <w:top w:w="50" w:type="dxa"/>
              <w:left w:w="80" w:type="dxa"/>
              <w:bottom w:w="50" w:type="dxa"/>
              <w:right w:w="80" w:type="dxa"/>
            </w:tcMar>
          </w:tcPr>
          <w:p w14:paraId="7D6ABA44" w14:textId="77777777" w:rsidR="002C685F" w:rsidRPr="005D5F13" w:rsidRDefault="00000000">
            <w:pPr>
              <w:spacing w:line="210" w:lineRule="auto"/>
              <w:rPr>
                <w:rFonts w:ascii="Arial" w:hAnsi="Arial" w:cs="Arial"/>
              </w:rPr>
            </w:pPr>
            <w:r w:rsidRPr="005D5F13">
              <w:rPr>
                <w:rFonts w:ascii="Arial" w:hAnsi="Arial" w:cs="Arial"/>
                <w:sz w:val="17"/>
                <w:szCs w:val="17"/>
              </w:rPr>
              <w:t>ECDA, via data.gov.sg [5]</w:t>
            </w:r>
          </w:p>
        </w:tc>
        <w:tc>
          <w:tcPr>
            <w:tcW w:w="4946" w:type="dxa"/>
            <w:tcMar>
              <w:top w:w="50" w:type="dxa"/>
              <w:left w:w="80" w:type="dxa"/>
              <w:bottom w:w="50" w:type="dxa"/>
              <w:right w:w="80" w:type="dxa"/>
            </w:tcMar>
          </w:tcPr>
          <w:p w14:paraId="7D6ABA45" w14:textId="77777777" w:rsidR="002C685F" w:rsidRPr="005D5F13" w:rsidRDefault="00000000">
            <w:pPr>
              <w:spacing w:line="210" w:lineRule="auto"/>
              <w:rPr>
                <w:rFonts w:ascii="Arial" w:hAnsi="Arial" w:cs="Arial"/>
              </w:rPr>
            </w:pPr>
            <w:r w:rsidRPr="005D5F13">
              <w:rPr>
                <w:rFonts w:ascii="Arial" w:hAnsi="Arial" w:cs="Arial"/>
                <w:sz w:val="17"/>
                <w:szCs w:val="17"/>
              </w:rPr>
              <w:t xml:space="preserve">Coverage </w:t>
            </w:r>
            <w:proofErr w:type="gramStart"/>
            <w:r w:rsidRPr="005D5F13">
              <w:rPr>
                <w:rFonts w:ascii="Arial" w:hAnsi="Arial" w:cs="Arial"/>
                <w:sz w:val="17"/>
                <w:szCs w:val="17"/>
              </w:rPr>
              <w:t>check</w:t>
            </w:r>
            <w:proofErr w:type="gramEnd"/>
            <w:r w:rsidRPr="005D5F13">
              <w:rPr>
                <w:rFonts w:ascii="Arial" w:hAnsi="Arial" w:cs="Arial"/>
                <w:sz w:val="17"/>
                <w:szCs w:val="17"/>
              </w:rPr>
              <w:t xml:space="preserve"> only — how much of one category OpenStreetMap actually contains</w:t>
            </w:r>
          </w:p>
        </w:tc>
      </w:tr>
      <w:tr w:rsidR="002C685F" w:rsidRPr="005D5F13" w14:paraId="7D6ABA4A" w14:textId="77777777">
        <w:tc>
          <w:tcPr>
            <w:tcW w:w="2450" w:type="dxa"/>
            <w:tcMar>
              <w:top w:w="50" w:type="dxa"/>
              <w:left w:w="80" w:type="dxa"/>
              <w:bottom w:w="50" w:type="dxa"/>
              <w:right w:w="80" w:type="dxa"/>
            </w:tcMar>
          </w:tcPr>
          <w:p w14:paraId="7D6ABA47" w14:textId="77777777" w:rsidR="002C685F" w:rsidRPr="005D5F13" w:rsidRDefault="00000000">
            <w:pPr>
              <w:spacing w:line="210" w:lineRule="auto"/>
              <w:rPr>
                <w:rFonts w:ascii="Arial" w:hAnsi="Arial" w:cs="Arial"/>
              </w:rPr>
            </w:pPr>
            <w:r w:rsidRPr="005D5F13">
              <w:rPr>
                <w:rFonts w:ascii="Arial" w:hAnsi="Arial" w:cs="Arial"/>
                <w:sz w:val="17"/>
                <w:szCs w:val="17"/>
              </w:rPr>
              <w:t>Household Expenditure Survey 2023 (quinquennial series)</w:t>
            </w:r>
          </w:p>
        </w:tc>
        <w:tc>
          <w:tcPr>
            <w:tcW w:w="2350" w:type="dxa"/>
            <w:tcMar>
              <w:top w:w="50" w:type="dxa"/>
              <w:left w:w="80" w:type="dxa"/>
              <w:bottom w:w="50" w:type="dxa"/>
              <w:right w:w="80" w:type="dxa"/>
            </w:tcMar>
          </w:tcPr>
          <w:p w14:paraId="7D6ABA48" w14:textId="77777777" w:rsidR="002C685F" w:rsidRPr="005D5F13" w:rsidRDefault="00000000">
            <w:pPr>
              <w:spacing w:line="210" w:lineRule="auto"/>
              <w:rPr>
                <w:rFonts w:ascii="Arial" w:hAnsi="Arial" w:cs="Arial"/>
              </w:rPr>
            </w:pPr>
            <w:proofErr w:type="spellStart"/>
            <w:r w:rsidRPr="005D5F13">
              <w:rPr>
                <w:rFonts w:ascii="Arial" w:hAnsi="Arial" w:cs="Arial"/>
                <w:sz w:val="17"/>
                <w:szCs w:val="17"/>
              </w:rPr>
              <w:t>SingStat</w:t>
            </w:r>
            <w:proofErr w:type="spellEnd"/>
            <w:r w:rsidRPr="005D5F13">
              <w:rPr>
                <w:rFonts w:ascii="Arial" w:hAnsi="Arial" w:cs="Arial"/>
                <w:sz w:val="17"/>
                <w:szCs w:val="17"/>
              </w:rPr>
              <w:t xml:space="preserve"> / data.gov.sg [6], [7]</w:t>
            </w:r>
          </w:p>
        </w:tc>
        <w:tc>
          <w:tcPr>
            <w:tcW w:w="4946" w:type="dxa"/>
            <w:tcMar>
              <w:top w:w="50" w:type="dxa"/>
              <w:left w:w="80" w:type="dxa"/>
              <w:bottom w:w="50" w:type="dxa"/>
              <w:right w:w="80" w:type="dxa"/>
            </w:tcMar>
          </w:tcPr>
          <w:p w14:paraId="7D6ABA49" w14:textId="77777777" w:rsidR="002C685F" w:rsidRPr="005D5F13" w:rsidRDefault="00000000">
            <w:pPr>
              <w:spacing w:line="210" w:lineRule="auto"/>
              <w:rPr>
                <w:rFonts w:ascii="Arial" w:hAnsi="Arial" w:cs="Arial"/>
              </w:rPr>
            </w:pPr>
            <w:r w:rsidRPr="005D5F13">
              <w:rPr>
                <w:rFonts w:ascii="Arial" w:hAnsi="Arial" w:cs="Arial"/>
                <w:sz w:val="17"/>
                <w:szCs w:val="17"/>
              </w:rPr>
              <w:t>Spending shares by category, which become the six weights</w:t>
            </w:r>
          </w:p>
        </w:tc>
      </w:tr>
      <w:tr w:rsidR="002C685F" w:rsidRPr="005D5F13" w14:paraId="7D6ABA4E" w14:textId="77777777">
        <w:tc>
          <w:tcPr>
            <w:tcW w:w="2450" w:type="dxa"/>
            <w:tcMar>
              <w:top w:w="50" w:type="dxa"/>
              <w:left w:w="80" w:type="dxa"/>
              <w:bottom w:w="50" w:type="dxa"/>
              <w:right w:w="80" w:type="dxa"/>
            </w:tcMar>
          </w:tcPr>
          <w:p w14:paraId="7D6ABA4B" w14:textId="77777777" w:rsidR="002C685F" w:rsidRPr="005D5F13" w:rsidRDefault="00000000">
            <w:pPr>
              <w:spacing w:line="210" w:lineRule="auto"/>
              <w:rPr>
                <w:rFonts w:ascii="Arial" w:hAnsi="Arial" w:cs="Arial"/>
              </w:rPr>
            </w:pPr>
            <w:r w:rsidRPr="005D5F13">
              <w:rPr>
                <w:rFonts w:ascii="Arial" w:hAnsi="Arial" w:cs="Arial"/>
                <w:sz w:val="17"/>
                <w:szCs w:val="17"/>
              </w:rPr>
              <w:t>Master Plan 2019 subzone boundaries, and rail station layer</w:t>
            </w:r>
          </w:p>
        </w:tc>
        <w:tc>
          <w:tcPr>
            <w:tcW w:w="2350" w:type="dxa"/>
            <w:tcMar>
              <w:top w:w="50" w:type="dxa"/>
              <w:left w:w="80" w:type="dxa"/>
              <w:bottom w:w="50" w:type="dxa"/>
              <w:right w:w="80" w:type="dxa"/>
            </w:tcMar>
          </w:tcPr>
          <w:p w14:paraId="7D6ABA4C" w14:textId="77777777" w:rsidR="002C685F" w:rsidRPr="005D5F13" w:rsidRDefault="00000000">
            <w:pPr>
              <w:spacing w:line="210" w:lineRule="auto"/>
              <w:rPr>
                <w:rFonts w:ascii="Arial" w:hAnsi="Arial" w:cs="Arial"/>
              </w:rPr>
            </w:pPr>
            <w:r w:rsidRPr="005D5F13">
              <w:rPr>
                <w:rFonts w:ascii="Arial" w:hAnsi="Arial" w:cs="Arial"/>
                <w:sz w:val="17"/>
                <w:szCs w:val="17"/>
              </w:rPr>
              <w:t>URA / data.gov.sg [8]</w:t>
            </w:r>
          </w:p>
        </w:tc>
        <w:tc>
          <w:tcPr>
            <w:tcW w:w="4946" w:type="dxa"/>
            <w:tcMar>
              <w:top w:w="50" w:type="dxa"/>
              <w:left w:w="80" w:type="dxa"/>
              <w:bottom w:w="50" w:type="dxa"/>
              <w:right w:w="80" w:type="dxa"/>
            </w:tcMar>
          </w:tcPr>
          <w:p w14:paraId="7D6ABA4D" w14:textId="77777777" w:rsidR="002C685F" w:rsidRPr="005D5F13" w:rsidRDefault="00000000">
            <w:pPr>
              <w:spacing w:line="210" w:lineRule="auto"/>
              <w:rPr>
                <w:rFonts w:ascii="Arial" w:hAnsi="Arial" w:cs="Arial"/>
              </w:rPr>
            </w:pPr>
            <w:r w:rsidRPr="005D5F13">
              <w:rPr>
                <w:rFonts w:ascii="Arial" w:hAnsi="Arial" w:cs="Arial"/>
                <w:sz w:val="17"/>
                <w:szCs w:val="17"/>
              </w:rPr>
              <w:t>The analysis unit (332 subzones), and distance to transit for Q2</w:t>
            </w:r>
          </w:p>
        </w:tc>
      </w:tr>
      <w:tr w:rsidR="002C685F" w:rsidRPr="005D5F13" w14:paraId="7D6ABA52" w14:textId="77777777">
        <w:tc>
          <w:tcPr>
            <w:tcW w:w="2450" w:type="dxa"/>
            <w:tcMar>
              <w:top w:w="50" w:type="dxa"/>
              <w:left w:w="80" w:type="dxa"/>
              <w:bottom w:w="50" w:type="dxa"/>
              <w:right w:w="80" w:type="dxa"/>
            </w:tcMar>
          </w:tcPr>
          <w:p w14:paraId="7D6ABA4F" w14:textId="77777777" w:rsidR="002C685F" w:rsidRPr="005D5F13" w:rsidRDefault="00000000">
            <w:pPr>
              <w:spacing w:line="210" w:lineRule="auto"/>
              <w:rPr>
                <w:rFonts w:ascii="Arial" w:hAnsi="Arial" w:cs="Arial"/>
              </w:rPr>
            </w:pPr>
            <w:r w:rsidRPr="005D5F13">
              <w:rPr>
                <w:rFonts w:ascii="Arial" w:hAnsi="Arial" w:cs="Arial"/>
                <w:sz w:val="17"/>
                <w:szCs w:val="17"/>
              </w:rPr>
              <w:t>Census 2020 by subzone: age and sex; type of dwelling</w:t>
            </w:r>
          </w:p>
        </w:tc>
        <w:tc>
          <w:tcPr>
            <w:tcW w:w="2350" w:type="dxa"/>
            <w:tcMar>
              <w:top w:w="50" w:type="dxa"/>
              <w:left w:w="80" w:type="dxa"/>
              <w:bottom w:w="50" w:type="dxa"/>
              <w:right w:w="80" w:type="dxa"/>
            </w:tcMar>
          </w:tcPr>
          <w:p w14:paraId="7D6ABA50" w14:textId="77777777" w:rsidR="002C685F" w:rsidRPr="005D5F13" w:rsidRDefault="00000000">
            <w:pPr>
              <w:spacing w:line="210" w:lineRule="auto"/>
              <w:rPr>
                <w:rFonts w:ascii="Arial" w:hAnsi="Arial" w:cs="Arial"/>
              </w:rPr>
            </w:pPr>
            <w:proofErr w:type="spellStart"/>
            <w:r w:rsidRPr="005D5F13">
              <w:rPr>
                <w:rFonts w:ascii="Arial" w:hAnsi="Arial" w:cs="Arial"/>
                <w:sz w:val="17"/>
                <w:szCs w:val="17"/>
              </w:rPr>
              <w:t>SingStat</w:t>
            </w:r>
            <w:proofErr w:type="spellEnd"/>
            <w:r w:rsidRPr="005D5F13">
              <w:rPr>
                <w:rFonts w:ascii="Arial" w:hAnsi="Arial" w:cs="Arial"/>
                <w:sz w:val="17"/>
                <w:szCs w:val="17"/>
              </w:rPr>
              <w:t xml:space="preserve"> / data.gov.sg [9], [10]</w:t>
            </w:r>
          </w:p>
        </w:tc>
        <w:tc>
          <w:tcPr>
            <w:tcW w:w="4946" w:type="dxa"/>
            <w:tcMar>
              <w:top w:w="50" w:type="dxa"/>
              <w:left w:w="80" w:type="dxa"/>
              <w:bottom w:w="50" w:type="dxa"/>
              <w:right w:w="80" w:type="dxa"/>
            </w:tcMar>
          </w:tcPr>
          <w:p w14:paraId="7D6ABA51" w14:textId="77777777" w:rsidR="002C685F" w:rsidRPr="005D5F13" w:rsidRDefault="00000000">
            <w:pPr>
              <w:spacing w:line="210" w:lineRule="auto"/>
              <w:rPr>
                <w:rFonts w:ascii="Arial" w:hAnsi="Arial" w:cs="Arial"/>
              </w:rPr>
            </w:pPr>
            <w:r w:rsidRPr="005D5F13">
              <w:rPr>
                <w:rFonts w:ascii="Arial" w:hAnsi="Arial" w:cs="Arial"/>
                <w:sz w:val="17"/>
                <w:szCs w:val="17"/>
              </w:rPr>
              <w:t>Population, elderly share and housing mix (Q2)</w:t>
            </w:r>
          </w:p>
        </w:tc>
      </w:tr>
      <w:tr w:rsidR="002C685F" w:rsidRPr="005D5F13" w14:paraId="7D6ABA56" w14:textId="77777777">
        <w:tc>
          <w:tcPr>
            <w:tcW w:w="2450" w:type="dxa"/>
            <w:tcMar>
              <w:top w:w="50" w:type="dxa"/>
              <w:left w:w="80" w:type="dxa"/>
              <w:bottom w:w="50" w:type="dxa"/>
              <w:right w:w="80" w:type="dxa"/>
            </w:tcMar>
          </w:tcPr>
          <w:p w14:paraId="7D6ABA53" w14:textId="77777777" w:rsidR="002C685F" w:rsidRPr="005D5F13" w:rsidRDefault="00000000">
            <w:pPr>
              <w:spacing w:line="210" w:lineRule="auto"/>
              <w:rPr>
                <w:rFonts w:ascii="Arial" w:hAnsi="Arial" w:cs="Arial"/>
              </w:rPr>
            </w:pPr>
            <w:r w:rsidRPr="005D5F13">
              <w:rPr>
                <w:rFonts w:ascii="Arial" w:hAnsi="Arial" w:cs="Arial"/>
                <w:sz w:val="17"/>
                <w:szCs w:val="17"/>
              </w:rPr>
              <w:t>2021 Census by Small Tertiary Planning Unit Group, with boundaries</w:t>
            </w:r>
          </w:p>
        </w:tc>
        <w:tc>
          <w:tcPr>
            <w:tcW w:w="2350" w:type="dxa"/>
            <w:tcMar>
              <w:top w:w="50" w:type="dxa"/>
              <w:left w:w="80" w:type="dxa"/>
              <w:bottom w:w="50" w:type="dxa"/>
              <w:right w:w="80" w:type="dxa"/>
            </w:tcMar>
          </w:tcPr>
          <w:p w14:paraId="7D6ABA54" w14:textId="77777777" w:rsidR="002C685F" w:rsidRPr="005D5F13" w:rsidRDefault="00000000">
            <w:pPr>
              <w:spacing w:line="210" w:lineRule="auto"/>
              <w:rPr>
                <w:rFonts w:ascii="Arial" w:hAnsi="Arial" w:cs="Arial"/>
              </w:rPr>
            </w:pPr>
            <w:r w:rsidRPr="005D5F13">
              <w:rPr>
                <w:rFonts w:ascii="Arial" w:hAnsi="Arial" w:cs="Arial"/>
                <w:sz w:val="17"/>
                <w:szCs w:val="17"/>
              </w:rPr>
              <w:t>HK C&amp;SD / data.gov.hk [11]</w:t>
            </w:r>
          </w:p>
        </w:tc>
        <w:tc>
          <w:tcPr>
            <w:tcW w:w="4946" w:type="dxa"/>
            <w:tcMar>
              <w:top w:w="50" w:type="dxa"/>
              <w:left w:w="80" w:type="dxa"/>
              <w:bottom w:w="50" w:type="dxa"/>
              <w:right w:w="80" w:type="dxa"/>
            </w:tcMar>
          </w:tcPr>
          <w:p w14:paraId="7D6ABA55" w14:textId="77777777" w:rsidR="002C685F" w:rsidRPr="005D5F13" w:rsidRDefault="00000000">
            <w:pPr>
              <w:spacing w:line="210" w:lineRule="auto"/>
              <w:rPr>
                <w:rFonts w:ascii="Arial" w:hAnsi="Arial" w:cs="Arial"/>
              </w:rPr>
            </w:pPr>
            <w:r w:rsidRPr="005D5F13">
              <w:rPr>
                <w:rFonts w:ascii="Arial" w:hAnsi="Arial" w:cs="Arial"/>
                <w:sz w:val="17"/>
                <w:szCs w:val="17"/>
              </w:rPr>
              <w:t>Optional extension only — Hong Kong areas of analysis and population</w:t>
            </w:r>
          </w:p>
        </w:tc>
      </w:tr>
    </w:tbl>
    <w:p w14:paraId="7D6ABA57" w14:textId="77777777" w:rsidR="002C685F" w:rsidRPr="005D5F13" w:rsidRDefault="002C685F">
      <w:pPr>
        <w:spacing w:line="120" w:lineRule="auto"/>
        <w:rPr>
          <w:rFonts w:ascii="Arial" w:hAnsi="Arial" w:cs="Arial"/>
        </w:rPr>
      </w:pPr>
    </w:p>
    <w:p w14:paraId="7D6ABA58"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Granularity. </w:t>
      </w:r>
      <w:r w:rsidRPr="005D5F13">
        <w:rPr>
          <w:rFonts w:ascii="Arial" w:hAnsi="Arial" w:cs="Arial"/>
        </w:rPr>
        <w:t>All Singapore inputs resolve either to one unit or to points, both census tables are published by subzone, and every facility list carries point geometry. Mature versus non-mature is defined at planning-area level and pushes down cleanly, because the hierarchy is nested (5 regions, 55 planning areas, 332 subzones). Household income is published only by planning area, never by subzone, which is why type of dwelling is used as the wealth measure — it is the finest-grained signal available at the analysis unit</w:t>
      </w:r>
      <w:r w:rsidRPr="005D5F13">
        <w:rPr>
          <w:rFonts w:ascii="Arial" w:hAnsi="Arial" w:cs="Arial"/>
        </w:rPr>
        <w:t>.</w:t>
      </w:r>
    </w:p>
    <w:p w14:paraId="7D6ABA59"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Unit sizes, which matter more than granularity. </w:t>
      </w:r>
      <w:r w:rsidRPr="005D5F13">
        <w:rPr>
          <w:rFonts w:ascii="Arial" w:hAnsi="Arial" w:cs="Arial"/>
        </w:rPr>
        <w:t>The 332 subzones total about 790 km², with a median of 1.2 km² but a range from 0.04 to 69 km². The access score is unaffected, because it counts facilities within 1 km of a population-weighted centre rather than within the polygon. The coverage check's per-subzone miss rate is affected, so subzones holding fewer than five reference facilities are shrunk rather than mapped at face value.</w:t>
      </w:r>
    </w:p>
    <w:p w14:paraId="7D6ABA5A"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Checking OpenStreetMap coverage. </w:t>
      </w:r>
      <w:r w:rsidRPr="005D5F13">
        <w:rPr>
          <w:rFonts w:ascii="Arial" w:hAnsi="Arial" w:cs="Arial"/>
        </w:rPr>
        <w:t>Every result is computed on OpenStreetMap counts, so it is worth knowing how complete they are. A full audit is not possible: for four of the six categories no authoritative register is published, and the health list covers only scheme-participating clinics, a non-random subset. What is possible cheaply is to check one category well. The ECDA listings [5] are a near-complete register of licensed preschools — almost the only material exclusion is some sixty MOE Kindergartens against roughly two thousand cent</w:t>
      </w:r>
      <w:r w:rsidRPr="005D5F13">
        <w:rPr>
          <w:rFonts w:ascii="Arial" w:hAnsi="Arial" w:cs="Arial"/>
        </w:rPr>
        <w:t>res — so we match OpenStreetMap points against it and report the share found, overall and separately for mature and non-mature towns, with a two-proportion test on the difference.</w:t>
      </w:r>
    </w:p>
    <w:p w14:paraId="7D6ABA5B"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Data collection. </w:t>
      </w:r>
      <w:r w:rsidRPr="005D5F13">
        <w:rPr>
          <w:rFonts w:ascii="Arial" w:hAnsi="Arial" w:cs="Arial"/>
        </w:rPr>
        <w:t>There is no survey to run; everything is downloaded. Two steps are our own work: matching OpenStreetMap preschool points against the ECDA register, and routing about 200 sample journeys along the footpath network to measure how far the straight-line distance estimate is off. Neither sits on the critical path.</w:t>
      </w:r>
    </w:p>
    <w:p w14:paraId="7D6ABA5C" w14:textId="77777777" w:rsidR="002C685F" w:rsidRPr="005D5F13" w:rsidRDefault="00000000">
      <w:pPr>
        <w:pStyle w:val="Heading1"/>
        <w:spacing w:before="190" w:after="90"/>
        <w:rPr>
          <w:rFonts w:ascii="Arial" w:hAnsi="Arial" w:cs="Arial"/>
        </w:rPr>
      </w:pPr>
      <w:r w:rsidRPr="005D5F13">
        <w:rPr>
          <w:rFonts w:ascii="Arial" w:hAnsi="Arial" w:cs="Arial"/>
          <w:b/>
          <w:bCs/>
          <w:color w:val="1F3864"/>
          <w:sz w:val="23"/>
          <w:szCs w:val="23"/>
        </w:rPr>
        <w:t>Where the Weights Come From</w:t>
      </w:r>
    </w:p>
    <w:p w14:paraId="7D6ABA5D" w14:textId="77777777" w:rsidR="002C685F" w:rsidRPr="005D5F13" w:rsidRDefault="00000000">
      <w:pPr>
        <w:spacing w:after="90" w:line="230" w:lineRule="auto"/>
        <w:jc w:val="both"/>
        <w:rPr>
          <w:rFonts w:ascii="Arial" w:hAnsi="Arial" w:cs="Arial"/>
        </w:rPr>
      </w:pPr>
      <w:r w:rsidRPr="005D5F13">
        <w:rPr>
          <w:rFonts w:ascii="Arial" w:hAnsi="Arial" w:cs="Arial"/>
        </w:rPr>
        <w:t>The six categories are aggregations of expenditure divisions published in the Household Expenditure Survey 2023 [6], [7], which follows the UN COICOP classification [12]. Divisions that do not correspond to somewhere you walk to are excluded: housing and utilities, communications, accommodation, and financial services. Transport is excluded too, because in Singapore it is mostly the cost of owning a car, which says nothing about proximity; distance to transit enters Q2 as its own variable instead. Each weig</w:t>
      </w:r>
      <w:r w:rsidRPr="005D5F13">
        <w:rPr>
          <w:rFonts w:ascii="Arial" w:hAnsi="Arial" w:cs="Arial"/>
        </w:rPr>
        <w:t>ht is that category's share of spending across the six we keep.</w:t>
      </w:r>
    </w:p>
    <w:p w14:paraId="7D6ABA5E" w14:textId="77777777" w:rsidR="002C685F" w:rsidRPr="005D5F13" w:rsidRDefault="00000000">
      <w:pPr>
        <w:spacing w:before="120" w:after="60" w:line="210" w:lineRule="auto"/>
        <w:rPr>
          <w:rFonts w:ascii="Arial" w:hAnsi="Arial" w:cs="Arial"/>
        </w:rPr>
      </w:pPr>
      <w:r w:rsidRPr="005D5F13">
        <w:rPr>
          <w:rFonts w:ascii="Arial" w:hAnsi="Arial" w:cs="Arial"/>
          <w:b/>
          <w:bCs/>
          <w:sz w:val="17"/>
          <w:szCs w:val="17"/>
        </w:rPr>
        <w:t>Table 2. Category weights, derived by the authors from average monthly household expenditure by type of goods and services, 2023 [6].</w:t>
      </w:r>
    </w:p>
    <w:tbl>
      <w:tblPr>
        <w:tblW w:w="9746" w:type="dxa"/>
        <w:tblBorders>
          <w:top w:val="single" w:sz="2" w:space="0" w:color="AAAAAA"/>
          <w:bottom w:val="single" w:sz="2" w:space="0" w:color="AAAAAA"/>
          <w:insideH w:val="single" w:sz="1" w:space="0" w:color="D9D9D9"/>
        </w:tblBorders>
        <w:tblCellMar>
          <w:left w:w="10" w:type="dxa"/>
          <w:right w:w="10" w:type="dxa"/>
        </w:tblCellMar>
        <w:tblLook w:val="0000" w:firstRow="0" w:lastRow="0" w:firstColumn="0" w:lastColumn="0" w:noHBand="0" w:noVBand="0"/>
      </w:tblPr>
      <w:tblGrid>
        <w:gridCol w:w="3000"/>
        <w:gridCol w:w="3400"/>
        <w:gridCol w:w="1650"/>
        <w:gridCol w:w="1696"/>
      </w:tblGrid>
      <w:tr w:rsidR="002C685F" w:rsidRPr="005D5F13" w14:paraId="7D6ABA63" w14:textId="77777777">
        <w:trPr>
          <w:tblHeader/>
        </w:trPr>
        <w:tc>
          <w:tcPr>
            <w:tcW w:w="3000" w:type="dxa"/>
            <w:shd w:val="clear" w:color="auto" w:fill="F2F2F2"/>
            <w:tcMar>
              <w:top w:w="50" w:type="dxa"/>
              <w:left w:w="80" w:type="dxa"/>
              <w:bottom w:w="50" w:type="dxa"/>
              <w:right w:w="80" w:type="dxa"/>
            </w:tcMar>
          </w:tcPr>
          <w:p w14:paraId="7D6ABA5F" w14:textId="77777777" w:rsidR="002C685F" w:rsidRPr="005D5F13" w:rsidRDefault="00000000">
            <w:pPr>
              <w:spacing w:line="210" w:lineRule="auto"/>
              <w:rPr>
                <w:rFonts w:ascii="Arial" w:hAnsi="Arial" w:cs="Arial"/>
              </w:rPr>
            </w:pPr>
            <w:r w:rsidRPr="005D5F13">
              <w:rPr>
                <w:rFonts w:ascii="Arial" w:hAnsi="Arial" w:cs="Arial"/>
                <w:b/>
                <w:bCs/>
                <w:sz w:val="17"/>
                <w:szCs w:val="17"/>
              </w:rPr>
              <w:t>Category</w:t>
            </w:r>
          </w:p>
        </w:tc>
        <w:tc>
          <w:tcPr>
            <w:tcW w:w="3400" w:type="dxa"/>
            <w:shd w:val="clear" w:color="auto" w:fill="F2F2F2"/>
            <w:tcMar>
              <w:top w:w="50" w:type="dxa"/>
              <w:left w:w="80" w:type="dxa"/>
              <w:bottom w:w="50" w:type="dxa"/>
              <w:right w:w="80" w:type="dxa"/>
            </w:tcMar>
          </w:tcPr>
          <w:p w14:paraId="7D6ABA60" w14:textId="77777777" w:rsidR="002C685F" w:rsidRPr="005D5F13" w:rsidRDefault="00000000">
            <w:pPr>
              <w:spacing w:line="210" w:lineRule="auto"/>
              <w:rPr>
                <w:rFonts w:ascii="Arial" w:hAnsi="Arial" w:cs="Arial"/>
              </w:rPr>
            </w:pPr>
            <w:r w:rsidRPr="005D5F13">
              <w:rPr>
                <w:rFonts w:ascii="Arial" w:hAnsi="Arial" w:cs="Arial"/>
                <w:b/>
                <w:bCs/>
                <w:sz w:val="17"/>
                <w:szCs w:val="17"/>
              </w:rPr>
              <w:t>Example facilities</w:t>
            </w:r>
          </w:p>
        </w:tc>
        <w:tc>
          <w:tcPr>
            <w:tcW w:w="1650" w:type="dxa"/>
            <w:shd w:val="clear" w:color="auto" w:fill="F2F2F2"/>
            <w:tcMar>
              <w:top w:w="50" w:type="dxa"/>
              <w:left w:w="80" w:type="dxa"/>
              <w:bottom w:w="50" w:type="dxa"/>
              <w:right w:w="80" w:type="dxa"/>
            </w:tcMar>
          </w:tcPr>
          <w:p w14:paraId="7D6ABA61" w14:textId="77777777" w:rsidR="002C685F" w:rsidRPr="005D5F13" w:rsidRDefault="00000000">
            <w:pPr>
              <w:spacing w:line="210" w:lineRule="auto"/>
              <w:rPr>
                <w:rFonts w:ascii="Arial" w:hAnsi="Arial" w:cs="Arial"/>
              </w:rPr>
            </w:pPr>
            <w:r w:rsidRPr="005D5F13">
              <w:rPr>
                <w:rFonts w:ascii="Arial" w:hAnsi="Arial" w:cs="Arial"/>
                <w:b/>
                <w:bCs/>
                <w:sz w:val="17"/>
                <w:szCs w:val="17"/>
              </w:rPr>
              <w:t>S$/month, 2023</w:t>
            </w:r>
          </w:p>
        </w:tc>
        <w:tc>
          <w:tcPr>
            <w:tcW w:w="1696" w:type="dxa"/>
            <w:shd w:val="clear" w:color="auto" w:fill="F2F2F2"/>
            <w:tcMar>
              <w:top w:w="50" w:type="dxa"/>
              <w:left w:w="80" w:type="dxa"/>
              <w:bottom w:w="50" w:type="dxa"/>
              <w:right w:w="80" w:type="dxa"/>
            </w:tcMar>
          </w:tcPr>
          <w:p w14:paraId="7D6ABA62" w14:textId="77777777" w:rsidR="002C685F" w:rsidRPr="005D5F13" w:rsidRDefault="00000000">
            <w:pPr>
              <w:spacing w:line="210" w:lineRule="auto"/>
              <w:rPr>
                <w:rFonts w:ascii="Arial" w:hAnsi="Arial" w:cs="Arial"/>
              </w:rPr>
            </w:pPr>
            <w:r w:rsidRPr="005D5F13">
              <w:rPr>
                <w:rFonts w:ascii="Arial" w:hAnsi="Arial" w:cs="Arial"/>
                <w:b/>
                <w:bCs/>
                <w:sz w:val="17"/>
                <w:szCs w:val="17"/>
              </w:rPr>
              <w:t>Weight</w:t>
            </w:r>
          </w:p>
        </w:tc>
      </w:tr>
      <w:tr w:rsidR="002C685F" w:rsidRPr="005D5F13" w14:paraId="7D6ABA68" w14:textId="77777777">
        <w:tc>
          <w:tcPr>
            <w:tcW w:w="3000" w:type="dxa"/>
            <w:tcMar>
              <w:top w:w="50" w:type="dxa"/>
              <w:left w:w="80" w:type="dxa"/>
              <w:bottom w:w="50" w:type="dxa"/>
              <w:right w:w="80" w:type="dxa"/>
            </w:tcMar>
          </w:tcPr>
          <w:p w14:paraId="7D6ABA64" w14:textId="77777777" w:rsidR="002C685F" w:rsidRPr="005D5F13" w:rsidRDefault="00000000">
            <w:pPr>
              <w:spacing w:line="210" w:lineRule="auto"/>
              <w:rPr>
                <w:rFonts w:ascii="Arial" w:hAnsi="Arial" w:cs="Arial"/>
              </w:rPr>
            </w:pPr>
            <w:r w:rsidRPr="005D5F13">
              <w:rPr>
                <w:rFonts w:ascii="Arial" w:hAnsi="Arial" w:cs="Arial"/>
                <w:sz w:val="17"/>
                <w:szCs w:val="17"/>
              </w:rPr>
              <w:t>Food services</w:t>
            </w:r>
          </w:p>
        </w:tc>
        <w:tc>
          <w:tcPr>
            <w:tcW w:w="3400" w:type="dxa"/>
            <w:tcMar>
              <w:top w:w="50" w:type="dxa"/>
              <w:left w:w="80" w:type="dxa"/>
              <w:bottom w:w="50" w:type="dxa"/>
              <w:right w:w="80" w:type="dxa"/>
            </w:tcMar>
          </w:tcPr>
          <w:p w14:paraId="7D6ABA65" w14:textId="77777777" w:rsidR="002C685F" w:rsidRPr="005D5F13" w:rsidRDefault="00000000">
            <w:pPr>
              <w:spacing w:line="210" w:lineRule="auto"/>
              <w:rPr>
                <w:rFonts w:ascii="Arial" w:hAnsi="Arial" w:cs="Arial"/>
              </w:rPr>
            </w:pPr>
            <w:r w:rsidRPr="005D5F13">
              <w:rPr>
                <w:rFonts w:ascii="Arial" w:hAnsi="Arial" w:cs="Arial"/>
                <w:sz w:val="17"/>
                <w:szCs w:val="17"/>
              </w:rPr>
              <w:t>Hawker centres, coffee shops, eateries</w:t>
            </w:r>
          </w:p>
        </w:tc>
        <w:tc>
          <w:tcPr>
            <w:tcW w:w="1650" w:type="dxa"/>
            <w:tcMar>
              <w:top w:w="50" w:type="dxa"/>
              <w:left w:w="80" w:type="dxa"/>
              <w:bottom w:w="50" w:type="dxa"/>
              <w:right w:w="80" w:type="dxa"/>
            </w:tcMar>
          </w:tcPr>
          <w:p w14:paraId="7D6ABA66" w14:textId="77777777" w:rsidR="002C685F" w:rsidRPr="005D5F13" w:rsidRDefault="00000000">
            <w:pPr>
              <w:spacing w:line="210" w:lineRule="auto"/>
              <w:jc w:val="right"/>
              <w:rPr>
                <w:rFonts w:ascii="Arial" w:hAnsi="Arial" w:cs="Arial"/>
              </w:rPr>
            </w:pPr>
            <w:r w:rsidRPr="005D5F13">
              <w:rPr>
                <w:rFonts w:ascii="Arial" w:hAnsi="Arial" w:cs="Arial"/>
                <w:sz w:val="17"/>
                <w:szCs w:val="17"/>
              </w:rPr>
              <w:t>965.7</w:t>
            </w:r>
          </w:p>
        </w:tc>
        <w:tc>
          <w:tcPr>
            <w:tcW w:w="1696" w:type="dxa"/>
            <w:tcMar>
              <w:top w:w="50" w:type="dxa"/>
              <w:left w:w="80" w:type="dxa"/>
              <w:bottom w:w="50" w:type="dxa"/>
              <w:right w:w="80" w:type="dxa"/>
            </w:tcMar>
          </w:tcPr>
          <w:p w14:paraId="7D6ABA67" w14:textId="77777777" w:rsidR="002C685F" w:rsidRPr="005D5F13" w:rsidRDefault="00000000">
            <w:pPr>
              <w:spacing w:line="210" w:lineRule="auto"/>
              <w:jc w:val="right"/>
              <w:rPr>
                <w:rFonts w:ascii="Arial" w:hAnsi="Arial" w:cs="Arial"/>
              </w:rPr>
            </w:pPr>
            <w:r w:rsidRPr="005D5F13">
              <w:rPr>
                <w:rFonts w:ascii="Arial" w:hAnsi="Arial" w:cs="Arial"/>
                <w:sz w:val="17"/>
                <w:szCs w:val="17"/>
              </w:rPr>
              <w:t>30.8%</w:t>
            </w:r>
          </w:p>
        </w:tc>
      </w:tr>
      <w:tr w:rsidR="002C685F" w:rsidRPr="005D5F13" w14:paraId="7D6ABA6D" w14:textId="77777777">
        <w:tc>
          <w:tcPr>
            <w:tcW w:w="3000" w:type="dxa"/>
            <w:tcMar>
              <w:top w:w="50" w:type="dxa"/>
              <w:left w:w="80" w:type="dxa"/>
              <w:bottom w:w="50" w:type="dxa"/>
              <w:right w:w="80" w:type="dxa"/>
            </w:tcMar>
          </w:tcPr>
          <w:p w14:paraId="7D6ABA69" w14:textId="77777777" w:rsidR="002C685F" w:rsidRPr="005D5F13" w:rsidRDefault="00000000">
            <w:pPr>
              <w:spacing w:line="210" w:lineRule="auto"/>
              <w:rPr>
                <w:rFonts w:ascii="Arial" w:hAnsi="Arial" w:cs="Arial"/>
              </w:rPr>
            </w:pPr>
            <w:r w:rsidRPr="005D5F13">
              <w:rPr>
                <w:rFonts w:ascii="Arial" w:hAnsi="Arial" w:cs="Arial"/>
                <w:sz w:val="17"/>
                <w:szCs w:val="17"/>
              </w:rPr>
              <w:t>Retail goods</w:t>
            </w:r>
          </w:p>
        </w:tc>
        <w:tc>
          <w:tcPr>
            <w:tcW w:w="3400" w:type="dxa"/>
            <w:tcMar>
              <w:top w:w="50" w:type="dxa"/>
              <w:left w:w="80" w:type="dxa"/>
              <w:bottom w:w="50" w:type="dxa"/>
              <w:right w:w="80" w:type="dxa"/>
            </w:tcMar>
          </w:tcPr>
          <w:p w14:paraId="7D6ABA6A" w14:textId="77777777" w:rsidR="002C685F" w:rsidRPr="005D5F13" w:rsidRDefault="00000000">
            <w:pPr>
              <w:spacing w:line="210" w:lineRule="auto"/>
              <w:rPr>
                <w:rFonts w:ascii="Arial" w:hAnsi="Arial" w:cs="Arial"/>
              </w:rPr>
            </w:pPr>
            <w:r w:rsidRPr="005D5F13">
              <w:rPr>
                <w:rFonts w:ascii="Arial" w:hAnsi="Arial" w:cs="Arial"/>
                <w:sz w:val="17"/>
                <w:szCs w:val="17"/>
              </w:rPr>
              <w:t>Clothing, household goods, general retail</w:t>
            </w:r>
          </w:p>
        </w:tc>
        <w:tc>
          <w:tcPr>
            <w:tcW w:w="1650" w:type="dxa"/>
            <w:tcMar>
              <w:top w:w="50" w:type="dxa"/>
              <w:left w:w="80" w:type="dxa"/>
              <w:bottom w:w="50" w:type="dxa"/>
              <w:right w:w="80" w:type="dxa"/>
            </w:tcMar>
          </w:tcPr>
          <w:p w14:paraId="7D6ABA6B" w14:textId="77777777" w:rsidR="002C685F" w:rsidRPr="005D5F13" w:rsidRDefault="00000000">
            <w:pPr>
              <w:spacing w:line="210" w:lineRule="auto"/>
              <w:jc w:val="right"/>
              <w:rPr>
                <w:rFonts w:ascii="Arial" w:hAnsi="Arial" w:cs="Arial"/>
              </w:rPr>
            </w:pPr>
            <w:r w:rsidRPr="005D5F13">
              <w:rPr>
                <w:rFonts w:ascii="Arial" w:hAnsi="Arial" w:cs="Arial"/>
                <w:sz w:val="17"/>
                <w:szCs w:val="17"/>
              </w:rPr>
              <w:t>504.2</w:t>
            </w:r>
          </w:p>
        </w:tc>
        <w:tc>
          <w:tcPr>
            <w:tcW w:w="1696" w:type="dxa"/>
            <w:tcMar>
              <w:top w:w="50" w:type="dxa"/>
              <w:left w:w="80" w:type="dxa"/>
              <w:bottom w:w="50" w:type="dxa"/>
              <w:right w:w="80" w:type="dxa"/>
            </w:tcMar>
          </w:tcPr>
          <w:p w14:paraId="7D6ABA6C" w14:textId="77777777" w:rsidR="002C685F" w:rsidRPr="005D5F13" w:rsidRDefault="00000000">
            <w:pPr>
              <w:spacing w:line="210" w:lineRule="auto"/>
              <w:jc w:val="right"/>
              <w:rPr>
                <w:rFonts w:ascii="Arial" w:hAnsi="Arial" w:cs="Arial"/>
              </w:rPr>
            </w:pPr>
            <w:r w:rsidRPr="005D5F13">
              <w:rPr>
                <w:rFonts w:ascii="Arial" w:hAnsi="Arial" w:cs="Arial"/>
                <w:sz w:val="17"/>
                <w:szCs w:val="17"/>
              </w:rPr>
              <w:t>16.1%</w:t>
            </w:r>
          </w:p>
        </w:tc>
      </w:tr>
      <w:tr w:rsidR="002C685F" w:rsidRPr="005D5F13" w14:paraId="7D6ABA72" w14:textId="77777777">
        <w:tc>
          <w:tcPr>
            <w:tcW w:w="3000" w:type="dxa"/>
            <w:tcMar>
              <w:top w:w="50" w:type="dxa"/>
              <w:left w:w="80" w:type="dxa"/>
              <w:bottom w:w="50" w:type="dxa"/>
              <w:right w:w="80" w:type="dxa"/>
            </w:tcMar>
          </w:tcPr>
          <w:p w14:paraId="7D6ABA6E" w14:textId="77777777" w:rsidR="002C685F" w:rsidRPr="005D5F13" w:rsidRDefault="00000000">
            <w:pPr>
              <w:spacing w:line="210" w:lineRule="auto"/>
              <w:rPr>
                <w:rFonts w:ascii="Arial" w:hAnsi="Arial" w:cs="Arial"/>
              </w:rPr>
            </w:pPr>
            <w:r w:rsidRPr="005D5F13">
              <w:rPr>
                <w:rFonts w:ascii="Arial" w:hAnsi="Arial" w:cs="Arial"/>
                <w:sz w:val="17"/>
                <w:szCs w:val="17"/>
              </w:rPr>
              <w:t>Health</w:t>
            </w:r>
          </w:p>
        </w:tc>
        <w:tc>
          <w:tcPr>
            <w:tcW w:w="3400" w:type="dxa"/>
            <w:tcMar>
              <w:top w:w="50" w:type="dxa"/>
              <w:left w:w="80" w:type="dxa"/>
              <w:bottom w:w="50" w:type="dxa"/>
              <w:right w:w="80" w:type="dxa"/>
            </w:tcMar>
          </w:tcPr>
          <w:p w14:paraId="7D6ABA6F" w14:textId="77777777" w:rsidR="002C685F" w:rsidRPr="005D5F13" w:rsidRDefault="00000000">
            <w:pPr>
              <w:spacing w:line="210" w:lineRule="auto"/>
              <w:rPr>
                <w:rFonts w:ascii="Arial" w:hAnsi="Arial" w:cs="Arial"/>
              </w:rPr>
            </w:pPr>
            <w:r w:rsidRPr="005D5F13">
              <w:rPr>
                <w:rFonts w:ascii="Arial" w:hAnsi="Arial" w:cs="Arial"/>
                <w:sz w:val="17"/>
                <w:szCs w:val="17"/>
              </w:rPr>
              <w:t>GP and dental clinics, polyclinics, pharmacies</w:t>
            </w:r>
          </w:p>
        </w:tc>
        <w:tc>
          <w:tcPr>
            <w:tcW w:w="1650" w:type="dxa"/>
            <w:tcMar>
              <w:top w:w="50" w:type="dxa"/>
              <w:left w:w="80" w:type="dxa"/>
              <w:bottom w:w="50" w:type="dxa"/>
              <w:right w:w="80" w:type="dxa"/>
            </w:tcMar>
          </w:tcPr>
          <w:p w14:paraId="7D6ABA70" w14:textId="77777777" w:rsidR="002C685F" w:rsidRPr="005D5F13" w:rsidRDefault="00000000">
            <w:pPr>
              <w:spacing w:line="210" w:lineRule="auto"/>
              <w:jc w:val="right"/>
              <w:rPr>
                <w:rFonts w:ascii="Arial" w:hAnsi="Arial" w:cs="Arial"/>
              </w:rPr>
            </w:pPr>
            <w:r w:rsidRPr="005D5F13">
              <w:rPr>
                <w:rFonts w:ascii="Arial" w:hAnsi="Arial" w:cs="Arial"/>
                <w:sz w:val="17"/>
                <w:szCs w:val="17"/>
              </w:rPr>
              <w:t>473.5</w:t>
            </w:r>
          </w:p>
        </w:tc>
        <w:tc>
          <w:tcPr>
            <w:tcW w:w="1696" w:type="dxa"/>
            <w:tcMar>
              <w:top w:w="50" w:type="dxa"/>
              <w:left w:w="80" w:type="dxa"/>
              <w:bottom w:w="50" w:type="dxa"/>
              <w:right w:w="80" w:type="dxa"/>
            </w:tcMar>
          </w:tcPr>
          <w:p w14:paraId="7D6ABA71" w14:textId="77777777" w:rsidR="002C685F" w:rsidRPr="005D5F13" w:rsidRDefault="00000000">
            <w:pPr>
              <w:spacing w:line="210" w:lineRule="auto"/>
              <w:jc w:val="right"/>
              <w:rPr>
                <w:rFonts w:ascii="Arial" w:hAnsi="Arial" w:cs="Arial"/>
              </w:rPr>
            </w:pPr>
            <w:r w:rsidRPr="005D5F13">
              <w:rPr>
                <w:rFonts w:ascii="Arial" w:hAnsi="Arial" w:cs="Arial"/>
                <w:sz w:val="17"/>
                <w:szCs w:val="17"/>
              </w:rPr>
              <w:t>15.1%</w:t>
            </w:r>
          </w:p>
        </w:tc>
      </w:tr>
      <w:tr w:rsidR="002C685F" w:rsidRPr="005D5F13" w14:paraId="7D6ABA77" w14:textId="77777777">
        <w:tc>
          <w:tcPr>
            <w:tcW w:w="3000" w:type="dxa"/>
            <w:tcMar>
              <w:top w:w="50" w:type="dxa"/>
              <w:left w:w="80" w:type="dxa"/>
              <w:bottom w:w="50" w:type="dxa"/>
              <w:right w:w="80" w:type="dxa"/>
            </w:tcMar>
          </w:tcPr>
          <w:p w14:paraId="7D6ABA73" w14:textId="77777777" w:rsidR="002C685F" w:rsidRPr="005D5F13" w:rsidRDefault="00000000">
            <w:pPr>
              <w:spacing w:line="210" w:lineRule="auto"/>
              <w:rPr>
                <w:rFonts w:ascii="Arial" w:hAnsi="Arial" w:cs="Arial"/>
              </w:rPr>
            </w:pPr>
            <w:r w:rsidRPr="005D5F13">
              <w:rPr>
                <w:rFonts w:ascii="Arial" w:hAnsi="Arial" w:cs="Arial"/>
                <w:sz w:val="17"/>
                <w:szCs w:val="17"/>
              </w:rPr>
              <w:t>Food retail</w:t>
            </w:r>
          </w:p>
        </w:tc>
        <w:tc>
          <w:tcPr>
            <w:tcW w:w="3400" w:type="dxa"/>
            <w:tcMar>
              <w:top w:w="50" w:type="dxa"/>
              <w:left w:w="80" w:type="dxa"/>
              <w:bottom w:w="50" w:type="dxa"/>
              <w:right w:w="80" w:type="dxa"/>
            </w:tcMar>
          </w:tcPr>
          <w:p w14:paraId="7D6ABA74" w14:textId="77777777" w:rsidR="002C685F" w:rsidRPr="005D5F13" w:rsidRDefault="00000000">
            <w:pPr>
              <w:spacing w:line="210" w:lineRule="auto"/>
              <w:rPr>
                <w:rFonts w:ascii="Arial" w:hAnsi="Arial" w:cs="Arial"/>
              </w:rPr>
            </w:pPr>
            <w:r w:rsidRPr="005D5F13">
              <w:rPr>
                <w:rFonts w:ascii="Arial" w:hAnsi="Arial" w:cs="Arial"/>
                <w:sz w:val="17"/>
                <w:szCs w:val="17"/>
              </w:rPr>
              <w:t>Supermarkets, wet markets, minimarts</w:t>
            </w:r>
          </w:p>
        </w:tc>
        <w:tc>
          <w:tcPr>
            <w:tcW w:w="1650" w:type="dxa"/>
            <w:tcMar>
              <w:top w:w="50" w:type="dxa"/>
              <w:left w:w="80" w:type="dxa"/>
              <w:bottom w:w="50" w:type="dxa"/>
              <w:right w:w="80" w:type="dxa"/>
            </w:tcMar>
          </w:tcPr>
          <w:p w14:paraId="7D6ABA75" w14:textId="77777777" w:rsidR="002C685F" w:rsidRPr="005D5F13" w:rsidRDefault="00000000">
            <w:pPr>
              <w:spacing w:line="210" w:lineRule="auto"/>
              <w:jc w:val="right"/>
              <w:rPr>
                <w:rFonts w:ascii="Arial" w:hAnsi="Arial" w:cs="Arial"/>
              </w:rPr>
            </w:pPr>
            <w:r w:rsidRPr="005D5F13">
              <w:rPr>
                <w:rFonts w:ascii="Arial" w:hAnsi="Arial" w:cs="Arial"/>
                <w:sz w:val="17"/>
                <w:szCs w:val="17"/>
              </w:rPr>
              <w:t>455.9</w:t>
            </w:r>
          </w:p>
        </w:tc>
        <w:tc>
          <w:tcPr>
            <w:tcW w:w="1696" w:type="dxa"/>
            <w:tcMar>
              <w:top w:w="50" w:type="dxa"/>
              <w:left w:w="80" w:type="dxa"/>
              <w:bottom w:w="50" w:type="dxa"/>
              <w:right w:w="80" w:type="dxa"/>
            </w:tcMar>
          </w:tcPr>
          <w:p w14:paraId="7D6ABA76" w14:textId="77777777" w:rsidR="002C685F" w:rsidRPr="005D5F13" w:rsidRDefault="00000000">
            <w:pPr>
              <w:spacing w:line="210" w:lineRule="auto"/>
              <w:jc w:val="right"/>
              <w:rPr>
                <w:rFonts w:ascii="Arial" w:hAnsi="Arial" w:cs="Arial"/>
              </w:rPr>
            </w:pPr>
            <w:r w:rsidRPr="005D5F13">
              <w:rPr>
                <w:rFonts w:ascii="Arial" w:hAnsi="Arial" w:cs="Arial"/>
                <w:sz w:val="17"/>
                <w:szCs w:val="17"/>
              </w:rPr>
              <w:t>14.5%</w:t>
            </w:r>
          </w:p>
        </w:tc>
      </w:tr>
      <w:tr w:rsidR="002C685F" w:rsidRPr="005D5F13" w14:paraId="7D6ABA7C" w14:textId="77777777">
        <w:tc>
          <w:tcPr>
            <w:tcW w:w="3000" w:type="dxa"/>
            <w:tcMar>
              <w:top w:w="50" w:type="dxa"/>
              <w:left w:w="80" w:type="dxa"/>
              <w:bottom w:w="50" w:type="dxa"/>
              <w:right w:w="80" w:type="dxa"/>
            </w:tcMar>
          </w:tcPr>
          <w:p w14:paraId="7D6ABA78" w14:textId="77777777" w:rsidR="002C685F" w:rsidRPr="005D5F13" w:rsidRDefault="00000000">
            <w:pPr>
              <w:spacing w:line="210" w:lineRule="auto"/>
              <w:rPr>
                <w:rFonts w:ascii="Arial" w:hAnsi="Arial" w:cs="Arial"/>
              </w:rPr>
            </w:pPr>
            <w:r w:rsidRPr="005D5F13">
              <w:rPr>
                <w:rFonts w:ascii="Arial" w:hAnsi="Arial" w:cs="Arial"/>
                <w:sz w:val="17"/>
                <w:szCs w:val="17"/>
              </w:rPr>
              <w:t>Education</w:t>
            </w:r>
          </w:p>
        </w:tc>
        <w:tc>
          <w:tcPr>
            <w:tcW w:w="3400" w:type="dxa"/>
            <w:tcMar>
              <w:top w:w="50" w:type="dxa"/>
              <w:left w:w="80" w:type="dxa"/>
              <w:bottom w:w="50" w:type="dxa"/>
              <w:right w:w="80" w:type="dxa"/>
            </w:tcMar>
          </w:tcPr>
          <w:p w14:paraId="7D6ABA79" w14:textId="77777777" w:rsidR="002C685F" w:rsidRPr="005D5F13" w:rsidRDefault="00000000">
            <w:pPr>
              <w:spacing w:line="210" w:lineRule="auto"/>
              <w:rPr>
                <w:rFonts w:ascii="Arial" w:hAnsi="Arial" w:cs="Arial"/>
              </w:rPr>
            </w:pPr>
            <w:r w:rsidRPr="005D5F13">
              <w:rPr>
                <w:rFonts w:ascii="Arial" w:hAnsi="Arial" w:cs="Arial"/>
                <w:sz w:val="17"/>
                <w:szCs w:val="17"/>
              </w:rPr>
              <w:t>Preschools, schools, libraries, tuition centres</w:t>
            </w:r>
          </w:p>
        </w:tc>
        <w:tc>
          <w:tcPr>
            <w:tcW w:w="1650" w:type="dxa"/>
            <w:tcMar>
              <w:top w:w="50" w:type="dxa"/>
              <w:left w:w="80" w:type="dxa"/>
              <w:bottom w:w="50" w:type="dxa"/>
              <w:right w:w="80" w:type="dxa"/>
            </w:tcMar>
          </w:tcPr>
          <w:p w14:paraId="7D6ABA7A" w14:textId="77777777" w:rsidR="002C685F" w:rsidRPr="005D5F13" w:rsidRDefault="00000000">
            <w:pPr>
              <w:spacing w:line="210" w:lineRule="auto"/>
              <w:jc w:val="right"/>
              <w:rPr>
                <w:rFonts w:ascii="Arial" w:hAnsi="Arial" w:cs="Arial"/>
              </w:rPr>
            </w:pPr>
            <w:r w:rsidRPr="005D5F13">
              <w:rPr>
                <w:rFonts w:ascii="Arial" w:hAnsi="Arial" w:cs="Arial"/>
                <w:sz w:val="17"/>
                <w:szCs w:val="17"/>
              </w:rPr>
              <w:t>404.2</w:t>
            </w:r>
          </w:p>
        </w:tc>
        <w:tc>
          <w:tcPr>
            <w:tcW w:w="1696" w:type="dxa"/>
            <w:tcMar>
              <w:top w:w="50" w:type="dxa"/>
              <w:left w:w="80" w:type="dxa"/>
              <w:bottom w:w="50" w:type="dxa"/>
              <w:right w:w="80" w:type="dxa"/>
            </w:tcMar>
          </w:tcPr>
          <w:p w14:paraId="7D6ABA7B" w14:textId="77777777" w:rsidR="002C685F" w:rsidRPr="005D5F13" w:rsidRDefault="00000000">
            <w:pPr>
              <w:spacing w:line="210" w:lineRule="auto"/>
              <w:jc w:val="right"/>
              <w:rPr>
                <w:rFonts w:ascii="Arial" w:hAnsi="Arial" w:cs="Arial"/>
              </w:rPr>
            </w:pPr>
            <w:r w:rsidRPr="005D5F13">
              <w:rPr>
                <w:rFonts w:ascii="Arial" w:hAnsi="Arial" w:cs="Arial"/>
                <w:sz w:val="17"/>
                <w:szCs w:val="17"/>
              </w:rPr>
              <w:t>12.9%</w:t>
            </w:r>
          </w:p>
        </w:tc>
      </w:tr>
      <w:tr w:rsidR="002C685F" w:rsidRPr="005D5F13" w14:paraId="7D6ABA81" w14:textId="77777777">
        <w:tc>
          <w:tcPr>
            <w:tcW w:w="3000" w:type="dxa"/>
            <w:tcMar>
              <w:top w:w="50" w:type="dxa"/>
              <w:left w:w="80" w:type="dxa"/>
              <w:bottom w:w="50" w:type="dxa"/>
              <w:right w:w="80" w:type="dxa"/>
            </w:tcMar>
          </w:tcPr>
          <w:p w14:paraId="7D6ABA7D" w14:textId="77777777" w:rsidR="002C685F" w:rsidRPr="005D5F13" w:rsidRDefault="00000000">
            <w:pPr>
              <w:spacing w:line="210" w:lineRule="auto"/>
              <w:rPr>
                <w:rFonts w:ascii="Arial" w:hAnsi="Arial" w:cs="Arial"/>
              </w:rPr>
            </w:pPr>
            <w:r w:rsidRPr="005D5F13">
              <w:rPr>
                <w:rFonts w:ascii="Arial" w:hAnsi="Arial" w:cs="Arial"/>
                <w:sz w:val="17"/>
                <w:szCs w:val="17"/>
              </w:rPr>
              <w:t>Recreation, sport and culture</w:t>
            </w:r>
          </w:p>
        </w:tc>
        <w:tc>
          <w:tcPr>
            <w:tcW w:w="3400" w:type="dxa"/>
            <w:tcMar>
              <w:top w:w="50" w:type="dxa"/>
              <w:left w:w="80" w:type="dxa"/>
              <w:bottom w:w="50" w:type="dxa"/>
              <w:right w:w="80" w:type="dxa"/>
            </w:tcMar>
          </w:tcPr>
          <w:p w14:paraId="7D6ABA7E" w14:textId="77777777" w:rsidR="002C685F" w:rsidRPr="005D5F13" w:rsidRDefault="00000000">
            <w:pPr>
              <w:spacing w:line="210" w:lineRule="auto"/>
              <w:rPr>
                <w:rFonts w:ascii="Arial" w:hAnsi="Arial" w:cs="Arial"/>
              </w:rPr>
            </w:pPr>
            <w:r w:rsidRPr="005D5F13">
              <w:rPr>
                <w:rFonts w:ascii="Arial" w:hAnsi="Arial" w:cs="Arial"/>
                <w:sz w:val="17"/>
                <w:szCs w:val="17"/>
              </w:rPr>
              <w:t>Parks, sports facilities, gyms, community clubs</w:t>
            </w:r>
          </w:p>
        </w:tc>
        <w:tc>
          <w:tcPr>
            <w:tcW w:w="1650" w:type="dxa"/>
            <w:tcMar>
              <w:top w:w="50" w:type="dxa"/>
              <w:left w:w="80" w:type="dxa"/>
              <w:bottom w:w="50" w:type="dxa"/>
              <w:right w:w="80" w:type="dxa"/>
            </w:tcMar>
          </w:tcPr>
          <w:p w14:paraId="7D6ABA7F" w14:textId="77777777" w:rsidR="002C685F" w:rsidRPr="005D5F13" w:rsidRDefault="00000000">
            <w:pPr>
              <w:spacing w:line="210" w:lineRule="auto"/>
              <w:jc w:val="right"/>
              <w:rPr>
                <w:rFonts w:ascii="Arial" w:hAnsi="Arial" w:cs="Arial"/>
              </w:rPr>
            </w:pPr>
            <w:r w:rsidRPr="005D5F13">
              <w:rPr>
                <w:rFonts w:ascii="Arial" w:hAnsi="Arial" w:cs="Arial"/>
                <w:sz w:val="17"/>
                <w:szCs w:val="17"/>
              </w:rPr>
              <w:t>334.7</w:t>
            </w:r>
          </w:p>
        </w:tc>
        <w:tc>
          <w:tcPr>
            <w:tcW w:w="1696" w:type="dxa"/>
            <w:tcMar>
              <w:top w:w="50" w:type="dxa"/>
              <w:left w:w="80" w:type="dxa"/>
              <w:bottom w:w="50" w:type="dxa"/>
              <w:right w:w="80" w:type="dxa"/>
            </w:tcMar>
          </w:tcPr>
          <w:p w14:paraId="7D6ABA80" w14:textId="77777777" w:rsidR="002C685F" w:rsidRPr="005D5F13" w:rsidRDefault="00000000">
            <w:pPr>
              <w:spacing w:line="210" w:lineRule="auto"/>
              <w:jc w:val="right"/>
              <w:rPr>
                <w:rFonts w:ascii="Arial" w:hAnsi="Arial" w:cs="Arial"/>
              </w:rPr>
            </w:pPr>
            <w:r w:rsidRPr="005D5F13">
              <w:rPr>
                <w:rFonts w:ascii="Arial" w:hAnsi="Arial" w:cs="Arial"/>
                <w:sz w:val="17"/>
                <w:szCs w:val="17"/>
              </w:rPr>
              <w:t>10.7%</w:t>
            </w:r>
          </w:p>
        </w:tc>
      </w:tr>
      <w:tr w:rsidR="002C685F" w:rsidRPr="005D5F13" w14:paraId="7D6ABA86" w14:textId="77777777">
        <w:tc>
          <w:tcPr>
            <w:tcW w:w="3000" w:type="dxa"/>
            <w:tcMar>
              <w:top w:w="50" w:type="dxa"/>
              <w:left w:w="80" w:type="dxa"/>
              <w:bottom w:w="50" w:type="dxa"/>
              <w:right w:w="80" w:type="dxa"/>
            </w:tcMar>
          </w:tcPr>
          <w:p w14:paraId="7D6ABA82" w14:textId="77777777" w:rsidR="002C685F" w:rsidRPr="005D5F13" w:rsidRDefault="00000000">
            <w:pPr>
              <w:spacing w:line="210" w:lineRule="auto"/>
              <w:rPr>
                <w:rFonts w:ascii="Arial" w:hAnsi="Arial" w:cs="Arial"/>
              </w:rPr>
            </w:pPr>
            <w:r w:rsidRPr="005D5F13">
              <w:rPr>
                <w:rFonts w:ascii="Arial" w:hAnsi="Arial" w:cs="Arial"/>
                <w:sz w:val="17"/>
                <w:szCs w:val="17"/>
              </w:rPr>
              <w:t>Total</w:t>
            </w:r>
          </w:p>
        </w:tc>
        <w:tc>
          <w:tcPr>
            <w:tcW w:w="3400" w:type="dxa"/>
            <w:tcMar>
              <w:top w:w="50" w:type="dxa"/>
              <w:left w:w="80" w:type="dxa"/>
              <w:bottom w:w="50" w:type="dxa"/>
              <w:right w:w="80" w:type="dxa"/>
            </w:tcMar>
          </w:tcPr>
          <w:p w14:paraId="7D6ABA83" w14:textId="77777777" w:rsidR="002C685F" w:rsidRPr="005D5F13" w:rsidRDefault="002C685F">
            <w:pPr>
              <w:spacing w:line="210" w:lineRule="auto"/>
              <w:rPr>
                <w:rFonts w:ascii="Arial" w:hAnsi="Arial" w:cs="Arial"/>
              </w:rPr>
            </w:pPr>
          </w:p>
        </w:tc>
        <w:tc>
          <w:tcPr>
            <w:tcW w:w="1650" w:type="dxa"/>
            <w:tcMar>
              <w:top w:w="50" w:type="dxa"/>
              <w:left w:w="80" w:type="dxa"/>
              <w:bottom w:w="50" w:type="dxa"/>
              <w:right w:w="80" w:type="dxa"/>
            </w:tcMar>
          </w:tcPr>
          <w:p w14:paraId="7D6ABA84" w14:textId="77777777" w:rsidR="002C685F" w:rsidRPr="005D5F13" w:rsidRDefault="00000000">
            <w:pPr>
              <w:spacing w:line="210" w:lineRule="auto"/>
              <w:jc w:val="right"/>
              <w:rPr>
                <w:rFonts w:ascii="Arial" w:hAnsi="Arial" w:cs="Arial"/>
              </w:rPr>
            </w:pPr>
            <w:r w:rsidRPr="005D5F13">
              <w:rPr>
                <w:rFonts w:ascii="Arial" w:hAnsi="Arial" w:cs="Arial"/>
                <w:sz w:val="17"/>
                <w:szCs w:val="17"/>
              </w:rPr>
              <w:t>3,138.2</w:t>
            </w:r>
          </w:p>
        </w:tc>
        <w:tc>
          <w:tcPr>
            <w:tcW w:w="1696" w:type="dxa"/>
            <w:tcMar>
              <w:top w:w="50" w:type="dxa"/>
              <w:left w:w="80" w:type="dxa"/>
              <w:bottom w:w="50" w:type="dxa"/>
              <w:right w:w="80" w:type="dxa"/>
            </w:tcMar>
          </w:tcPr>
          <w:p w14:paraId="7D6ABA85" w14:textId="77777777" w:rsidR="002C685F" w:rsidRPr="005D5F13" w:rsidRDefault="00000000">
            <w:pPr>
              <w:spacing w:line="210" w:lineRule="auto"/>
              <w:jc w:val="right"/>
              <w:rPr>
                <w:rFonts w:ascii="Arial" w:hAnsi="Arial" w:cs="Arial"/>
              </w:rPr>
            </w:pPr>
            <w:r w:rsidRPr="005D5F13">
              <w:rPr>
                <w:rFonts w:ascii="Arial" w:hAnsi="Arial" w:cs="Arial"/>
                <w:sz w:val="17"/>
                <w:szCs w:val="17"/>
              </w:rPr>
              <w:t>100%</w:t>
            </w:r>
          </w:p>
        </w:tc>
      </w:tr>
    </w:tbl>
    <w:p w14:paraId="7D6ABA87" w14:textId="77777777" w:rsidR="002C685F" w:rsidRPr="005D5F13" w:rsidRDefault="002C685F">
      <w:pPr>
        <w:spacing w:line="120" w:lineRule="auto"/>
        <w:rPr>
          <w:rFonts w:ascii="Arial" w:hAnsi="Arial" w:cs="Arial"/>
        </w:rPr>
      </w:pPr>
    </w:p>
    <w:p w14:paraId="7D6ABA88"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Three caveats. </w:t>
      </w:r>
      <w:r w:rsidRPr="005D5F13">
        <w:rPr>
          <w:rFonts w:ascii="Arial" w:hAnsi="Arial" w:cs="Arial"/>
        </w:rPr>
        <w:t xml:space="preserve">Spending share is not </w:t>
      </w:r>
      <w:proofErr w:type="gramStart"/>
      <w:r w:rsidRPr="005D5F13">
        <w:rPr>
          <w:rFonts w:ascii="Arial" w:hAnsi="Arial" w:cs="Arial"/>
        </w:rPr>
        <w:t>trip</w:t>
      </w:r>
      <w:proofErr w:type="gramEnd"/>
      <w:r w:rsidRPr="005D5F13">
        <w:rPr>
          <w:rFonts w:ascii="Arial" w:hAnsi="Arial" w:cs="Arial"/>
        </w:rPr>
        <w:t xml:space="preserve"> frequency — health takes a large budget share but generates few trips — so the score is recomputed with equal weights as a robustness check. Spending says nothing about variety within a category, so variety is counted separately.</w:t>
      </w:r>
    </w:p>
    <w:p w14:paraId="7D6ABA89" w14:textId="77777777" w:rsidR="002C685F" w:rsidRPr="005D5F13" w:rsidRDefault="00000000">
      <w:pPr>
        <w:pStyle w:val="Heading1"/>
        <w:spacing w:before="190" w:after="90"/>
        <w:rPr>
          <w:rFonts w:ascii="Arial" w:hAnsi="Arial" w:cs="Arial"/>
        </w:rPr>
      </w:pPr>
      <w:r w:rsidRPr="005D5F13">
        <w:rPr>
          <w:rFonts w:ascii="Arial" w:hAnsi="Arial" w:cs="Arial"/>
          <w:b/>
          <w:bCs/>
          <w:color w:val="1F3864"/>
          <w:sz w:val="23"/>
          <w:szCs w:val="23"/>
        </w:rPr>
        <w:t>Method</w:t>
      </w:r>
    </w:p>
    <w:p w14:paraId="7D6ABA8A"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1. Spatial statistics (Q1). </w:t>
      </w:r>
      <w:r w:rsidRPr="005D5F13">
        <w:rPr>
          <w:rFonts w:ascii="Arial" w:hAnsi="Arial" w:cs="Arial"/>
        </w:rPr>
        <w:t xml:space="preserve">Global Moran's I per category and for the composite score, queen contiguity with k-nearest-neighbours as a check, 999 permutations. LISA and </w:t>
      </w:r>
      <w:proofErr w:type="spellStart"/>
      <w:r w:rsidRPr="005D5F13">
        <w:rPr>
          <w:rFonts w:ascii="Arial" w:hAnsi="Arial" w:cs="Arial"/>
        </w:rPr>
        <w:t>Getis</w:t>
      </w:r>
      <w:proofErr w:type="spellEnd"/>
      <w:r w:rsidRPr="005D5F13">
        <w:rPr>
          <w:rFonts w:ascii="Arial" w:hAnsi="Arial" w:cs="Arial"/>
        </w:rPr>
        <w:t xml:space="preserve">-Ord Gi* map the local clusters; because that runs several </w:t>
      </w:r>
      <w:r w:rsidRPr="005D5F13">
        <w:rPr>
          <w:rFonts w:ascii="Arial" w:hAnsi="Arial" w:cs="Arial"/>
        </w:rPr>
        <w:lastRenderedPageBreak/>
        <w:t>hundred local tests at once, p-values are adjusted for the number of tests. The contiguity structure built here is reused as Q3's resampling blocks.</w:t>
      </w:r>
    </w:p>
    <w:p w14:paraId="7D6ABA8B"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2. Regression (Q2). </w:t>
      </w:r>
      <w:r w:rsidRPr="005D5F13">
        <w:rPr>
          <w:rFonts w:ascii="Arial" w:hAnsi="Arial" w:cs="Arial"/>
        </w:rPr>
        <w:t>Ordinary least squares, then a test for spatially correlated residuals and a refit as a spatial error model if needed. Collinearity is checked. OpenStreetMap contributor density is carried as a control for mapping effort. The density share of variance and the residual vector are written out for Q3.</w:t>
      </w:r>
    </w:p>
    <w:p w14:paraId="7D6ABA8C"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3. Clustering (Q3). </w:t>
      </w:r>
      <w:r w:rsidRPr="005D5F13">
        <w:rPr>
          <w:rFonts w:ascii="Arial" w:hAnsi="Arial" w:cs="Arial"/>
        </w:rPr>
        <w:t xml:space="preserve">k-means on the six category scores, k chosen by elbow and silhouette, stability assessed by spatial block bootstrap. The </w:t>
      </w:r>
      <w:proofErr w:type="gramStart"/>
      <w:r w:rsidRPr="005D5F13">
        <w:rPr>
          <w:rFonts w:ascii="Arial" w:hAnsi="Arial" w:cs="Arial"/>
        </w:rPr>
        <w:t>type</w:t>
      </w:r>
      <w:proofErr w:type="gramEnd"/>
      <w:r w:rsidRPr="005D5F13">
        <w:rPr>
          <w:rFonts w:ascii="Arial" w:hAnsi="Arial" w:cs="Arial"/>
        </w:rPr>
        <w:t xml:space="preserve"> mix is compared across mature and non-mature towns by permutation within spatial blocks, and cluster membership is tested against Q2's residuals. If the Hong Kong extension runs, Hong Kong subzone-equivalents are assigned to the Singapore </w:t>
      </w:r>
      <w:proofErr w:type="gramStart"/>
      <w:r w:rsidRPr="005D5F13">
        <w:rPr>
          <w:rFonts w:ascii="Arial" w:hAnsi="Arial" w:cs="Arial"/>
        </w:rPr>
        <w:t>clusters</w:t>
      </w:r>
      <w:proofErr w:type="gramEnd"/>
      <w:r w:rsidRPr="005D5F13">
        <w:rPr>
          <w:rFonts w:ascii="Arial" w:hAnsi="Arial" w:cs="Arial"/>
        </w:rPr>
        <w:t xml:space="preserve"> and the same two tests are repeated across cities.</w:t>
      </w:r>
    </w:p>
    <w:p w14:paraId="7D6ABA8E" w14:textId="77777777" w:rsidR="002C685F" w:rsidRPr="005D5F13" w:rsidRDefault="00000000">
      <w:pPr>
        <w:spacing w:after="90" w:line="230" w:lineRule="auto"/>
        <w:jc w:val="both"/>
        <w:rPr>
          <w:rFonts w:ascii="Arial" w:hAnsi="Arial" w:cs="Arial"/>
        </w:rPr>
      </w:pPr>
      <w:r w:rsidRPr="005D5F13">
        <w:rPr>
          <w:rFonts w:ascii="Arial" w:hAnsi="Arial" w:cs="Arial"/>
          <w:b/>
          <w:bCs/>
        </w:rPr>
        <w:t xml:space="preserve">Tools. </w:t>
      </w:r>
      <w:r w:rsidRPr="005D5F13">
        <w:rPr>
          <w:rFonts w:ascii="Arial" w:hAnsi="Arial" w:cs="Arial"/>
        </w:rPr>
        <w:t xml:space="preserve">R throughout: sf [13], </w:t>
      </w:r>
      <w:proofErr w:type="spellStart"/>
      <w:r w:rsidRPr="005D5F13">
        <w:rPr>
          <w:rFonts w:ascii="Arial" w:hAnsi="Arial" w:cs="Arial"/>
        </w:rPr>
        <w:t>tmap</w:t>
      </w:r>
      <w:proofErr w:type="spellEnd"/>
      <w:r w:rsidRPr="005D5F13">
        <w:rPr>
          <w:rFonts w:ascii="Arial" w:hAnsi="Arial" w:cs="Arial"/>
        </w:rPr>
        <w:t xml:space="preserve"> and ggplot2; </w:t>
      </w:r>
      <w:proofErr w:type="spellStart"/>
      <w:r w:rsidRPr="005D5F13">
        <w:rPr>
          <w:rFonts w:ascii="Arial" w:hAnsi="Arial" w:cs="Arial"/>
        </w:rPr>
        <w:t>osmdata</w:t>
      </w:r>
      <w:proofErr w:type="spellEnd"/>
      <w:r w:rsidRPr="005D5F13">
        <w:rPr>
          <w:rFonts w:ascii="Arial" w:hAnsi="Arial" w:cs="Arial"/>
        </w:rPr>
        <w:t xml:space="preserve"> for the extraction; </w:t>
      </w:r>
      <w:proofErr w:type="spellStart"/>
      <w:r w:rsidRPr="005D5F13">
        <w:rPr>
          <w:rFonts w:ascii="Arial" w:hAnsi="Arial" w:cs="Arial"/>
        </w:rPr>
        <w:t>spdep</w:t>
      </w:r>
      <w:proofErr w:type="spellEnd"/>
      <w:r w:rsidRPr="005D5F13">
        <w:rPr>
          <w:rFonts w:ascii="Arial" w:hAnsi="Arial" w:cs="Arial"/>
        </w:rPr>
        <w:t xml:space="preserve"> and </w:t>
      </w:r>
      <w:proofErr w:type="spellStart"/>
      <w:r w:rsidRPr="005D5F13">
        <w:rPr>
          <w:rFonts w:ascii="Arial" w:hAnsi="Arial" w:cs="Arial"/>
        </w:rPr>
        <w:t>spatialreg</w:t>
      </w:r>
      <w:proofErr w:type="spellEnd"/>
      <w:r w:rsidRPr="005D5F13">
        <w:rPr>
          <w:rFonts w:ascii="Arial" w:hAnsi="Arial" w:cs="Arial"/>
        </w:rPr>
        <w:t xml:space="preserve"> for the spatial statistics and regression; cluster and </w:t>
      </w:r>
      <w:proofErr w:type="spellStart"/>
      <w:r w:rsidRPr="005D5F13">
        <w:rPr>
          <w:rFonts w:ascii="Arial" w:hAnsi="Arial" w:cs="Arial"/>
        </w:rPr>
        <w:t>factoextra</w:t>
      </w:r>
      <w:proofErr w:type="spellEnd"/>
      <w:r w:rsidRPr="005D5F13">
        <w:rPr>
          <w:rFonts w:ascii="Arial" w:hAnsi="Arial" w:cs="Arial"/>
        </w:rPr>
        <w:t xml:space="preserve"> for the clustering. The whole thing lives in one R Markdown document so it can be re-run from scratch.</w:t>
      </w:r>
    </w:p>
    <w:p w14:paraId="7D6ABA8F" w14:textId="77777777" w:rsidR="002C685F" w:rsidRPr="005D5F13" w:rsidRDefault="00000000">
      <w:pPr>
        <w:pStyle w:val="Heading1"/>
        <w:spacing w:before="190" w:after="90"/>
        <w:rPr>
          <w:rFonts w:ascii="Arial" w:hAnsi="Arial" w:cs="Arial"/>
        </w:rPr>
      </w:pPr>
      <w:r w:rsidRPr="005D5F13">
        <w:rPr>
          <w:rFonts w:ascii="Arial" w:hAnsi="Arial" w:cs="Arial"/>
          <w:b/>
          <w:bCs/>
          <w:color w:val="1F3864"/>
          <w:sz w:val="23"/>
          <w:szCs w:val="23"/>
        </w:rPr>
        <w:t>References</w:t>
      </w:r>
    </w:p>
    <w:p w14:paraId="7D6ABA90"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[1] Land Transport Authority, “Land Transport Master Plan 2040: Bringing Singapore Together,” LTA, Singapore, 2019. [Online]. Available: https://www.lta.gov.sg/content/ltagov/en/who_we_are/our_work/land_transport_master_plan_2040.html. Accessed: Sep. 2026.</w:t>
      </w:r>
    </w:p>
    <w:p w14:paraId="7D6ABA91"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 xml:space="preserve">[2] C. Moreno, Z. Allam, D. Chabaud, C. Gall, and F. </w:t>
      </w:r>
      <w:proofErr w:type="spellStart"/>
      <w:r w:rsidRPr="005D5F13">
        <w:rPr>
          <w:rFonts w:ascii="Arial" w:hAnsi="Arial" w:cs="Arial"/>
          <w:sz w:val="16"/>
          <w:szCs w:val="16"/>
        </w:rPr>
        <w:t>Pratlong</w:t>
      </w:r>
      <w:proofErr w:type="spellEnd"/>
      <w:r w:rsidRPr="005D5F13">
        <w:rPr>
          <w:rFonts w:ascii="Arial" w:hAnsi="Arial" w:cs="Arial"/>
          <w:sz w:val="16"/>
          <w:szCs w:val="16"/>
        </w:rPr>
        <w:t>, “Introducing the ‘15-Minute City’: Sustainability, resilience and place identity in future post-pandemic cities,” Smart Cities, vol. 4, no. 1, pp. 93–111, 2021.</w:t>
      </w:r>
    </w:p>
    <w:p w14:paraId="7D6ABA92"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[3] Housing &amp; Development Board, “New flat classification framework to ensure affordable homeownership, a good social mix, and a fair system,” HDB, Singapore, 2024. [Online]. Available: https://www.hdb.gov.sg/hdb-pulse/news/2024/new-flat-classification-framework. Accessed: Sep. 2026.</w:t>
      </w:r>
    </w:p>
    <w:p w14:paraId="7D6ABA93"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[4] OpenStreetMap contributors, “OpenStreetMap,” 2026. [Online]. Available: https://www.openstreetmap.org. Data licensed under the Open Database License. Accessed: Sep. 2026.</w:t>
      </w:r>
    </w:p>
    <w:p w14:paraId="7D6ABA94"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[5] Early Childhood Development Agency, “Listing of centres,” data.gov.sg, 2026. [Online]. Available: https://data.gov.sg/datasets/d_696c994c50745b079b3684f0e90ffc53/view. Accessed: Sep. 2026.</w:t>
      </w:r>
    </w:p>
    <w:p w14:paraId="7D6ABA95"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[6] Department of Statistics Singapore, “Average monthly household expenditure among resident households by type of goods and services, quinquennial,” data.gov.sg, 2024. [Online]. Available: https://data.gov.sg/datasets/d_7a24e1f85969c45ad68a89f7acf4e7a8/view. Accessed: Sep. 2026.</w:t>
      </w:r>
    </w:p>
    <w:p w14:paraId="7D6ABA96"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[7] Department of Statistics Singapore, Report on the Household Expenditure Survey 2023. Singapore: Department of Statistics, 2024.</w:t>
      </w:r>
    </w:p>
    <w:p w14:paraId="7D6ABA97"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[8] Urban Redevelopment Authority, “Master Plan 2019 subzone boundary (no sea),” data.gov.sg, 2019. [Online]. Available: https://data.gov.sg/datasets/d_8594ae9ff96d0c708bc2af633048edfb/view. Accessed: Sep. 2026.</w:t>
      </w:r>
    </w:p>
    <w:p w14:paraId="7D6ABA98"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[9] Department of Statistics Singapore, “Resident population by planning area/subzone of residence, age group and sex (Census of Population 2020),” data.gov.sg, 2021. [Online]. Available: https://data.gov.sg/datasets/d_d95ae740c0f8961a0b10435836660ce0/view. Accessed: Sep. 2026.</w:t>
      </w:r>
    </w:p>
    <w:p w14:paraId="7D6ABA99"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[10] Department of Statistics Singapore, “Resident population by planning area/subzone of residence and type of dwelling (Census of Population 2020),” data.gov.sg, 2021. [Online]. Available: https://data.gov.sg/datasets/d_7f243956483d5901f237e6f87b096636/view. Accessed: Sep. 2026.</w:t>
      </w:r>
    </w:p>
    <w:p w14:paraId="7D6ABA9A"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[11] Census and Statistics Department, “2021 Population Census: statistics and boundaries of small tertiary planning unit groups,” data.gov.hk, 2022. [Online]. Available: https://data.gov.hk/en-data/dataset/hk-censtatd-census_geo-2021-population-census-by-stpu. Accessed: Sep. 2026.</w:t>
      </w:r>
    </w:p>
    <w:p w14:paraId="7D6ABA9B"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[12] United Nations Statistics Division, Classification of Individual Consumption According to Purpose (COICOP) 2018. New York: United Nations, 2018.</w:t>
      </w:r>
    </w:p>
    <w:p w14:paraId="7D6ABA9C" w14:textId="77777777" w:rsidR="002C685F" w:rsidRPr="005D5F13" w:rsidRDefault="00000000">
      <w:pPr>
        <w:spacing w:after="20" w:line="200" w:lineRule="auto"/>
        <w:ind w:left="340" w:hanging="340"/>
        <w:rPr>
          <w:rFonts w:ascii="Arial" w:hAnsi="Arial" w:cs="Arial"/>
        </w:rPr>
      </w:pPr>
      <w:r w:rsidRPr="005D5F13">
        <w:rPr>
          <w:rFonts w:ascii="Arial" w:hAnsi="Arial" w:cs="Arial"/>
          <w:sz w:val="16"/>
          <w:szCs w:val="16"/>
        </w:rPr>
        <w:t xml:space="preserve">[13] E. </w:t>
      </w:r>
      <w:proofErr w:type="spellStart"/>
      <w:r w:rsidRPr="005D5F13">
        <w:rPr>
          <w:rFonts w:ascii="Arial" w:hAnsi="Arial" w:cs="Arial"/>
          <w:sz w:val="16"/>
          <w:szCs w:val="16"/>
        </w:rPr>
        <w:t>Pebesma</w:t>
      </w:r>
      <w:proofErr w:type="spellEnd"/>
      <w:r w:rsidRPr="005D5F13">
        <w:rPr>
          <w:rFonts w:ascii="Arial" w:hAnsi="Arial" w:cs="Arial"/>
          <w:sz w:val="16"/>
          <w:szCs w:val="16"/>
        </w:rPr>
        <w:t>, “Simple features for R: standardized support for spatial vector data,” The R Journal, vol. 10, no. 1, pp. 439–446, 2018.</w:t>
      </w:r>
    </w:p>
    <w:sectPr w:rsidR="002C685F" w:rsidRPr="005D5F13">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18C"/>
    <w:multiLevelType w:val="hybridMultilevel"/>
    <w:tmpl w:val="FE50F82A"/>
    <w:lvl w:ilvl="0" w:tplc="E42E78F0">
      <w:start w:val="1"/>
      <w:numFmt w:val="bullet"/>
      <w:lvlText w:val="●"/>
      <w:lvlJc w:val="left"/>
      <w:pPr>
        <w:ind w:left="720" w:hanging="360"/>
      </w:pPr>
    </w:lvl>
    <w:lvl w:ilvl="1" w:tplc="3098AEAE">
      <w:start w:val="1"/>
      <w:numFmt w:val="bullet"/>
      <w:lvlText w:val="○"/>
      <w:lvlJc w:val="left"/>
      <w:pPr>
        <w:ind w:left="1440" w:hanging="360"/>
      </w:pPr>
    </w:lvl>
    <w:lvl w:ilvl="2" w:tplc="E6A256A6">
      <w:start w:val="1"/>
      <w:numFmt w:val="bullet"/>
      <w:lvlText w:val="■"/>
      <w:lvlJc w:val="left"/>
      <w:pPr>
        <w:ind w:left="2160" w:hanging="360"/>
      </w:pPr>
    </w:lvl>
    <w:lvl w:ilvl="3" w:tplc="AA787106">
      <w:start w:val="1"/>
      <w:numFmt w:val="bullet"/>
      <w:lvlText w:val="●"/>
      <w:lvlJc w:val="left"/>
      <w:pPr>
        <w:ind w:left="2880" w:hanging="360"/>
      </w:pPr>
    </w:lvl>
    <w:lvl w:ilvl="4" w:tplc="879257D4">
      <w:start w:val="1"/>
      <w:numFmt w:val="bullet"/>
      <w:lvlText w:val="○"/>
      <w:lvlJc w:val="left"/>
      <w:pPr>
        <w:ind w:left="3600" w:hanging="360"/>
      </w:pPr>
    </w:lvl>
    <w:lvl w:ilvl="5" w:tplc="EBDA8E7E">
      <w:start w:val="1"/>
      <w:numFmt w:val="bullet"/>
      <w:lvlText w:val="■"/>
      <w:lvlJc w:val="left"/>
      <w:pPr>
        <w:ind w:left="4320" w:hanging="360"/>
      </w:pPr>
    </w:lvl>
    <w:lvl w:ilvl="6" w:tplc="10285472">
      <w:start w:val="1"/>
      <w:numFmt w:val="bullet"/>
      <w:lvlText w:val="●"/>
      <w:lvlJc w:val="left"/>
      <w:pPr>
        <w:ind w:left="5040" w:hanging="360"/>
      </w:pPr>
    </w:lvl>
    <w:lvl w:ilvl="7" w:tplc="0C9CFA14">
      <w:start w:val="1"/>
      <w:numFmt w:val="bullet"/>
      <w:lvlText w:val="●"/>
      <w:lvlJc w:val="left"/>
      <w:pPr>
        <w:ind w:left="5760" w:hanging="360"/>
      </w:pPr>
    </w:lvl>
    <w:lvl w:ilvl="8" w:tplc="9A483590">
      <w:start w:val="1"/>
      <w:numFmt w:val="bullet"/>
      <w:lvlText w:val="●"/>
      <w:lvlJc w:val="left"/>
      <w:pPr>
        <w:ind w:left="6480" w:hanging="360"/>
      </w:pPr>
    </w:lvl>
  </w:abstractNum>
  <w:abstractNum w:abstractNumId="1" w15:restartNumberingAfterBreak="0">
    <w:nsid w:val="178B5BD7"/>
    <w:multiLevelType w:val="hybridMultilevel"/>
    <w:tmpl w:val="23FE487E"/>
    <w:lvl w:ilvl="0" w:tplc="7BF860F8">
      <w:start w:val="1"/>
      <w:numFmt w:val="bullet"/>
      <w:lvlText w:val="•"/>
      <w:lvlJc w:val="left"/>
      <w:pPr>
        <w:ind w:left="260" w:hanging="180"/>
      </w:pPr>
    </w:lvl>
    <w:lvl w:ilvl="1" w:tplc="A3546E3C">
      <w:numFmt w:val="decimal"/>
      <w:lvlText w:val=""/>
      <w:lvlJc w:val="left"/>
    </w:lvl>
    <w:lvl w:ilvl="2" w:tplc="5E704CE6">
      <w:numFmt w:val="decimal"/>
      <w:lvlText w:val=""/>
      <w:lvlJc w:val="left"/>
    </w:lvl>
    <w:lvl w:ilvl="3" w:tplc="84808132">
      <w:numFmt w:val="decimal"/>
      <w:lvlText w:val=""/>
      <w:lvlJc w:val="left"/>
    </w:lvl>
    <w:lvl w:ilvl="4" w:tplc="C16E42B8">
      <w:numFmt w:val="decimal"/>
      <w:lvlText w:val=""/>
      <w:lvlJc w:val="left"/>
    </w:lvl>
    <w:lvl w:ilvl="5" w:tplc="193EE52A">
      <w:numFmt w:val="decimal"/>
      <w:lvlText w:val=""/>
      <w:lvlJc w:val="left"/>
    </w:lvl>
    <w:lvl w:ilvl="6" w:tplc="0714C7F0">
      <w:numFmt w:val="decimal"/>
      <w:lvlText w:val=""/>
      <w:lvlJc w:val="left"/>
    </w:lvl>
    <w:lvl w:ilvl="7" w:tplc="CE88EEA2">
      <w:numFmt w:val="decimal"/>
      <w:lvlText w:val=""/>
      <w:lvlJc w:val="left"/>
    </w:lvl>
    <w:lvl w:ilvl="8" w:tplc="6B74BC66">
      <w:numFmt w:val="decimal"/>
      <w:lvlText w:val=""/>
      <w:lvlJc w:val="left"/>
    </w:lvl>
  </w:abstractNum>
  <w:num w:numId="1" w16cid:durableId="1827630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85F"/>
    <w:rsid w:val="001400FA"/>
    <w:rsid w:val="00191947"/>
    <w:rsid w:val="002C685F"/>
    <w:rsid w:val="00526789"/>
    <w:rsid w:val="005D5F13"/>
    <w:rsid w:val="00B07D61"/>
    <w:rsid w:val="00BC2AC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BA1B"/>
  <w15:docId w15:val="{2B15CF41-E919-4AEF-90AF-8D0C5CFC2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1400FA"/>
    <w:pPr>
      <w:keepNext/>
      <w:keepLines/>
      <w:spacing w:after="320" w:line="276" w:lineRule="auto"/>
    </w:pPr>
    <w:rPr>
      <w:rFonts w:ascii="Arial" w:eastAsia="Arial" w:hAnsi="Arial" w:cs="Arial"/>
      <w:color w:val="666666"/>
      <w:sz w:val="30"/>
      <w:szCs w:val="30"/>
      <w:lang w:val="en"/>
    </w:rPr>
  </w:style>
  <w:style w:type="character" w:customStyle="1" w:styleId="SubtitleChar">
    <w:name w:val="Subtitle Char"/>
    <w:basedOn w:val="DefaultParagraphFont"/>
    <w:link w:val="Subtitle"/>
    <w:uiPriority w:val="11"/>
    <w:rsid w:val="001400FA"/>
    <w:rPr>
      <w:rFonts w:ascii="Arial" w:eastAsia="Arial" w:hAnsi="Arial" w:cs="Arial"/>
      <w:color w:val="666666"/>
      <w:sz w:val="30"/>
      <w:szCs w:val="3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2312</Words>
  <Characters>13181</Characters>
  <Application>Microsoft Office Word</Application>
  <DocSecurity>0</DocSecurity>
  <Lines>109</Lines>
  <Paragraphs>30</Paragraphs>
  <ScaleCrop>false</ScaleCrop>
  <Company/>
  <LinksUpToDate>false</LinksUpToDate>
  <CharactersWithSpaces>15463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Haotian Qu</cp:lastModifiedBy>
  <cp:revision>4</cp:revision>
  <cp:lastPrinted>2026-09-20T15:58:00Z</cp:lastPrinted>
  <dcterms:created xsi:type="dcterms:W3CDTF">2026-09-20T15:57:00Z</dcterms:created>
  <dcterms:modified xsi:type="dcterms:W3CDTF">2026-09-20T16:00:00Z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3444a9-1c77-41c3-bc28-c507a09321d2_Enabled">
    <vt:lpwstr>true</vt:lpwstr>
  </property>
  <property fmtid="{D5CDD505-2E9C-101B-9397-08002B2CF9AE}" pid="3" name="MSIP_Label_d43444a9-1c77-41c3-bc28-c507a09321d2_SetDate">
    <vt:lpwstr>2026-09-20T15:57:02Z</vt:lpwstr>
  </property>
  <property fmtid="{D5CDD505-2E9C-101B-9397-08002B2CF9AE}" pid="4" name="MSIP_Label_d43444a9-1c77-41c3-bc28-c507a09321d2_Method">
    <vt:lpwstr>Standard</vt:lpwstr>
  </property>
  <property fmtid="{D5CDD505-2E9C-101B-9397-08002B2CF9AE}" pid="5" name="MSIP_Label_d43444a9-1c77-41c3-bc28-c507a09321d2_Name">
    <vt:lpwstr>Corp data</vt:lpwstr>
  </property>
  <property fmtid="{D5CDD505-2E9C-101B-9397-08002B2CF9AE}" pid="6" name="MSIP_Label_d43444a9-1c77-41c3-bc28-c507a09321d2_SiteId">
    <vt:lpwstr>667439c9-20b5-4283-bd7b-fb6b3099d221</vt:lpwstr>
  </property>
  <property fmtid="{D5CDD505-2E9C-101B-9397-08002B2CF9AE}" pid="7" name="MSIP_Label_d43444a9-1c77-41c3-bc28-c507a09321d2_ActionId">
    <vt:lpwstr>fecdab54-7f8e-46df-bf67-032b8e8cec66</vt:lpwstr>
  </property>
  <property fmtid="{D5CDD505-2E9C-101B-9397-08002B2CF9AE}" pid="8" name="MSIP_Label_d43444a9-1c77-41c3-bc28-c507a09321d2_ContentBits">
    <vt:lpwstr>0</vt:lpwstr>
  </property>
  <property fmtid="{D5CDD505-2E9C-101B-9397-08002B2CF9AE}" pid="9" name="MSIP_Label_d43444a9-1c77-41c3-bc28-c507a09321d2_Tag">
    <vt:lpwstr>10, 3, 0, 1</vt:lpwstr>
  </property>
</Properties>
</file>