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color w:val="1F3864"/>
          <w:sz w:val="40"/>
          <w:szCs w:val="40"/>
        </w:rPr>
        <w:t xml:space="preserve">Whose 15-Minute City?</w:t>
      </w:r>
    </w:p>
    <w:p>
      <w:pPr>
        <w:spacing w:after="40"/>
        <w:jc w:val="center"/>
      </w:pPr>
      <w:r>
        <w:rPr>
          <w:rFonts w:ascii="Calibri" w:cs="Calibri" w:eastAsia="Calibri" w:hAnsi="Calibri"/>
          <w:color w:val="1F3864"/>
          <w:sz w:val="26"/>
          <w:szCs w:val="26"/>
        </w:rPr>
        <w:t xml:space="preserve">Comparing Walkable Access to Everyday Services in Singapore and Hong Kong</w:t>
      </w:r>
    </w:p>
    <w:p>
      <w:pPr>
        <w:spacing w:after="180"/>
        <w:jc w:val="center"/>
      </w:pPr>
      <w:r>
        <w:rPr>
          <w:rFonts w:ascii="Calibri" w:cs="Calibri" w:eastAsia="Calibri" w:hAnsi="Calibri"/>
          <w:color w:val="1F3864"/>
          <w:sz w:val="26"/>
          <w:szCs w:val="26"/>
        </w:rPr>
        <w:t xml:space="preserve"/>
      </w:r>
    </w:p>
    <w:p>
      <w:pPr>
        <w:pBdr>
          <w:top w:val="single" w:color="1F3864" w:sz="6"/>
        </w:pBdr>
        <w:spacing w:after="40"/>
        <w:jc w:val="center"/>
      </w:pPr>
      <w:r>
        <w:rPr>
          <w:rFonts w:ascii="Calibri" w:cs="Calibri" w:eastAsia="Calibri" w:hAnsi="Calibri"/>
          <w:sz w:val="4"/>
          <w:szCs w:val="4"/>
        </w:rPr>
        <w:t xml:space="preserve"/>
      </w:r>
    </w:p>
    <w:p>
      <w:pPr>
        <w:spacing w:after="30"/>
        <w:jc w:val="center"/>
      </w:pPr>
      <w:r>
        <w:rPr>
          <w:rFonts w:ascii="Calibri" w:cs="Calibri" w:eastAsia="Calibri" w:hAnsi="Calibri"/>
          <w:b/>
          <w:bCs/>
          <w:sz w:val="19"/>
          <w:szCs w:val="19"/>
        </w:rPr>
        <w:t xml:space="preserve">Project Proposal  ·  TBA4220 Geospatial Analysis</w:t>
      </w:r>
    </w:p>
    <w:p>
      <w:pPr>
        <w:spacing w:after="120"/>
        <w:jc w:val="center"/>
      </w:pPr>
      <w:r>
        <w:rPr>
          <w:rFonts w:ascii="Calibri" w:cs="Calibri" w:eastAsia="Calibri" w:hAnsi="Calibri"/>
          <w:sz w:val="19"/>
          <w:szCs w:val="19"/>
        </w:rPr>
        <w:t xml:space="preserve">Group: [GROUP NAME]   ·   Submission date: [DATE]</w:t>
      </w:r>
    </w:p>
    <w:tbl>
      <w:tblPr>
        <w:tblW w:type="dxa" w:w="9746"/>
        <w:tblBorders>
          <w:top w:val="single" w:color="AAAAAA" w:sz="2"/>
          <w:left w:val="none"/>
          <w:bottom w:val="single" w:color="AAAAAA" w:sz="2"/>
          <w:right w:val="none"/>
          <w:insideH w:val="single" w:color="D9D9D9" w:sz="1"/>
          <w:insideV w:val="none"/>
        </w:tblBorders>
      </w:tblPr>
      <w:tblGrid>
        <w:gridCol w:w="2400"/>
        <w:gridCol w:w="4400"/>
        <w:gridCol w:w="2946"/>
      </w:tblGrid>
      <w:tr>
        <w:trPr>
          <w:tblHeader/>
        </w:trPr>
        <w:tc>
          <w:tcPr>
            <w:tcW w:type="dxa" w:w="240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Member</w:t>
            </w:r>
          </w:p>
        </w:tc>
        <w:tc>
          <w:tcPr>
            <w:tcW w:type="dxa" w:w="440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Student ID</w:t>
            </w:r>
          </w:p>
        </w:tc>
        <w:tc>
          <w:tcPr>
            <w:tcW w:type="dxa" w:w="2946"/>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Workstream</w:t>
            </w:r>
          </w:p>
        </w:tc>
      </w:tr>
      <w:tr>
        <w:trPr>
          <w:tblHeader w:val="false"/>
        </w:trPr>
        <w:tc>
          <w:tcPr>
            <w:tcW w:type="dxa" w:w="2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[Member 1]</w:t>
            </w:r>
          </w:p>
        </w:tc>
        <w:tc>
          <w:tcPr>
            <w:tcW w:type="dxa" w:w="4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[ID]</w:t>
            </w:r>
          </w:p>
        </w:tc>
        <w:tc>
          <w:tcPr>
            <w:tcW w:type="dxa" w:w="2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Q1 — Checking the data and building the score</w:t>
            </w:r>
          </w:p>
        </w:tc>
      </w:tr>
      <w:tr>
        <w:trPr>
          <w:tblHeader w:val="false"/>
        </w:trPr>
        <w:tc>
          <w:tcPr>
            <w:tcW w:type="dxa" w:w="2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[Member 2]</w:t>
            </w:r>
          </w:p>
        </w:tc>
        <w:tc>
          <w:tcPr>
            <w:tcW w:type="dxa" w:w="4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[ID]</w:t>
            </w:r>
          </w:p>
        </w:tc>
        <w:tc>
          <w:tcPr>
            <w:tcW w:type="dxa" w:w="2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Q2 — Is access clustered?</w:t>
            </w:r>
          </w:p>
        </w:tc>
      </w:tr>
      <w:tr>
        <w:trPr>
          <w:tblHeader w:val="false"/>
        </w:trPr>
        <w:tc>
          <w:tcPr>
            <w:tcW w:type="dxa" w:w="2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[Member 3]</w:t>
            </w:r>
          </w:p>
        </w:tc>
        <w:tc>
          <w:tcPr>
            <w:tcW w:type="dxa" w:w="4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[ID]</w:t>
            </w:r>
          </w:p>
        </w:tc>
        <w:tc>
          <w:tcPr>
            <w:tcW w:type="dxa" w:w="2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Q3 — Who gets good access?</w:t>
            </w:r>
          </w:p>
        </w:tc>
      </w:tr>
      <w:tr>
        <w:trPr>
          <w:tblHeader w:val="false"/>
        </w:trPr>
        <w:tc>
          <w:tcPr>
            <w:tcW w:type="dxa" w:w="2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[Member 4]</w:t>
            </w:r>
          </w:p>
        </w:tc>
        <w:tc>
          <w:tcPr>
            <w:tcW w:type="dxa" w:w="4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[ID]</w:t>
            </w:r>
          </w:p>
        </w:tc>
        <w:tc>
          <w:tcPr>
            <w:tcW w:type="dxa" w:w="2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Q4 — Neighbourhood types, machine learning</w:t>
            </w:r>
          </w:p>
        </w:tc>
      </w:tr>
    </w:tbl>
    <w:p>
      <w:pPr>
        <w:spacing w:after="0" w:line="120"/>
      </w:pPr>
      <w:r>
        <w:rPr>
          <w:rFonts w:ascii="Calibri" w:cs="Calibri" w:eastAsia="Calibri" w:hAnsi="Calibri"/>
          <w:sz w:val="8"/>
          <w:szCs w:val="8"/>
        </w:rPr>
        <w:t xml:space="preserve"/>
      </w:r>
    </w:p>
    <w:p>
      <w:pPr>
        <w:pStyle w:val="Heading1"/>
        <w:spacing w:after="90" w:before="190"/>
      </w:pPr>
      <w:r>
        <w:rPr>
          <w:rFonts w:ascii="Calibri" w:cs="Calibri" w:eastAsia="Calibri" w:hAnsi="Calibri"/>
          <w:b/>
          <w:bCs/>
          <w:color w:val="1F3864"/>
          <w:sz w:val="23"/>
          <w:szCs w:val="23"/>
        </w:rPr>
        <w:t xml:space="preserve">Abstract</w:t>
      </w:r>
    </w:p>
    <w:p>
      <w:pPr>
        <w:spacing w:after="90" w:line="230"/>
        <w:jc w:val="both"/>
      </w:pPr>
      <w:r>
        <w:rPr>
          <w:rFonts w:ascii="Calibri" w:cs="Calibri" w:eastAsia="Calibri" w:hAnsi="Calibri"/>
          <w:sz w:val="19"/>
          <w:szCs w:val="19"/>
        </w:rPr>
        <w:t xml:space="preserve">This project measures how easily residents can walk to the everyday services they need, and compares Singapore with Hong Kong. For every small area in both cities we build a single access score from six categories of service — food shops, eating places, health, education, everyday retail, and recreation — using OpenStreetMap to locate the facilities. The weight given to each category is not chosen by us: it is the share of household spending that category takes up in the official expenditure survey, so the numbers come from data rather than from opinion. We then ask four questions: how reliable the OpenStreetMap data actually is, whether good and poor access form spatial clusters, whether areas with more elderly residents or more lower-cost housing have worse access, and whether the same kinds of neighbourhood show up in both cities. Everything is done in R. A large part of what we expect to get out of the assignment is practical — putting a complete spatial workflow together, from raw open data through to a tested result and a finished map.</w:t>
      </w:r>
    </w:p>
    <w:p>
      <w:pPr>
        <w:pStyle w:val="Heading1"/>
        <w:spacing w:after="90" w:before="190"/>
      </w:pPr>
      <w:r>
        <w:rPr>
          <w:rFonts w:ascii="Calibri" w:cs="Calibri" w:eastAsia="Calibri" w:hAnsi="Calibri"/>
          <w:b/>
          <w:bCs/>
          <w:color w:val="1F3864"/>
          <w:sz w:val="23"/>
          <w:szCs w:val="23"/>
        </w:rPr>
        <w:t xml:space="preserve">Objective</w:t>
      </w:r>
    </w:p>
    <w:p>
      <w:pPr>
        <w:spacing w:after="90" w:line="230"/>
        <w:jc w:val="both"/>
      </w:pPr>
      <w:r>
        <w:rPr>
          <w:rFonts w:ascii="Calibri" w:cs="Calibri" w:eastAsia="Calibri" w:hAnsi="Calibri"/>
          <w:b/>
          <w:bCs/>
          <w:sz w:val="19"/>
          <w:szCs w:val="19"/>
        </w:rPr>
        <w:t xml:space="preserve">Why this topic. </w:t>
      </w:r>
      <w:r>
        <w:rPr>
          <w:rFonts w:ascii="Calibri" w:cs="Calibri" w:eastAsia="Calibri" w:hAnsi="Calibri"/>
          <w:sz w:val="19"/>
          <w:szCs w:val="19"/>
        </w:rPr>
        <w:t xml:space="preserve">Singapore's Land Transport Master Plan aims for "20-minute towns and a 45-minute city", and similar proximity targets now appear in plans around the world. Checking whether a target like that is met sounds simple, but it needs one decision that is usually made casually: how much is each type of service worth? A clinic and a karaoke bar are obviously not equal, but picking 9 and 6 out of 10 because those feel about right is not much better. We avoid that by taking the weights from the household expenditure survey, which records what households actually spend on each category.</w:t>
      </w:r>
    </w:p>
    <w:p>
      <w:pPr>
        <w:spacing w:after="90" w:line="230"/>
        <w:jc w:val="both"/>
      </w:pPr>
      <w:r>
        <w:rPr>
          <w:rFonts w:ascii="Calibri" w:cs="Calibri" w:eastAsia="Calibri" w:hAnsi="Calibri"/>
          <w:b/>
          <w:bCs/>
          <w:sz w:val="19"/>
          <w:szCs w:val="19"/>
        </w:rPr>
        <w:t xml:space="preserve">Why two cities. </w:t>
      </w:r>
      <w:r>
        <w:rPr>
          <w:rFonts w:ascii="Calibri" w:cs="Calibri" w:eastAsia="Calibri" w:hAnsi="Calibri"/>
          <w:sz w:val="19"/>
          <w:szCs w:val="19"/>
        </w:rPr>
        <w:t xml:space="preserve">Comparing Singapore with Hong Kong gives us something to test rather than just describe. Singapore's shops and services are largely placed through planned new towns with provision norms attached; Hong Kong's come more from private development on very limited buildable land. The two cities are otherwise quite similar — dense, high-rise, transit-oriented, with large public housing sectors — so if access turns out to be spread more evenly in one of them, the planning approach is a plausible reason. If planned provision does spread access more evenly, we would expect weaker clustering and a weaker link between access and housing type.</w:t>
      </w:r>
    </w:p>
    <w:p>
      <w:pPr>
        <w:spacing w:after="90" w:line="230"/>
        <w:jc w:val="both"/>
      </w:pPr>
      <w:r>
        <w:rPr>
          <w:rFonts w:ascii="Calibri" w:cs="Calibri" w:eastAsia="Calibri" w:hAnsi="Calibri"/>
          <w:b/>
          <w:bCs/>
          <w:sz w:val="19"/>
          <w:szCs w:val="19"/>
        </w:rPr>
        <w:t xml:space="preserve">What we expect to learn. </w:t>
      </w:r>
      <w:r>
        <w:rPr>
          <w:rFonts w:ascii="Calibri" w:cs="Calibri" w:eastAsia="Calibri" w:hAnsi="Calibri"/>
          <w:sz w:val="19"/>
          <w:szCs w:val="19"/>
        </w:rPr>
        <w:t xml:space="preserve">Beyond the results, this is a chance to build a full geospatial workflow in R rather than a series of exercises: reading and cleaning open data, joining tables to boundaries, handling projections, computing distances, running spatial statistics, and presenting the outcome as maps. Each member owns one question, so each of us runs a different family of methods from start to finish and then has to explain it to the others.</w:t>
      </w:r>
    </w:p>
    <w:p>
      <w:pPr>
        <w:spacing w:after="90" w:line="230"/>
        <w:jc w:val="both"/>
      </w:pPr>
      <w:r>
        <w:rPr>
          <w:rFonts w:ascii="Calibri" w:cs="Calibri" w:eastAsia="Calibri" w:hAnsi="Calibri"/>
          <w:b/>
          <w:bCs/>
          <w:sz w:val="19"/>
          <w:szCs w:val="19"/>
        </w:rPr>
        <w:t xml:space="preserve">Research questions. </w:t>
      </w:r>
      <w:r>
        <w:rPr>
          <w:rFonts w:ascii="Calibri" w:cs="Calibri" w:eastAsia="Calibri" w:hAnsi="Calibri"/>
          <w:sz w:val="19"/>
          <w:szCs w:val="19"/>
        </w:rPr>
        <w:t xml:space="preserve">Each question belongs to one member and is written so it can be answered by a test rather than by looking at a map.</w:t>
      </w:r>
    </w:p>
    <w:p>
      <w:pPr>
        <w:pStyle w:val="ListParagraph"/>
        <w:numPr>
          <w:ilvl w:val="0"/>
          <w:numId w:val="2"/>
        </w:numPr>
        <w:spacing w:after="60" w:line="230"/>
        <w:jc w:val="both"/>
      </w:pPr>
      <w:r>
        <w:rPr>
          <w:rFonts w:ascii="Calibri" w:cs="Calibri" w:eastAsia="Calibri" w:hAnsi="Calibri"/>
          <w:b/>
          <w:bCs/>
          <w:sz w:val="19"/>
          <w:szCs w:val="19"/>
        </w:rPr>
        <w:t xml:space="preserve">Q1 (Checking the data). </w:t>
      </w:r>
      <w:r>
        <w:rPr>
          <w:rFonts w:ascii="Calibri" w:cs="Calibri" w:eastAsia="Calibri" w:hAnsi="Calibri"/>
          <w:sz w:val="19"/>
          <w:szCs w:val="19"/>
        </w:rPr>
        <w:t xml:space="preserve">How complete is OpenStreetMap for the services we are counting, and are the gaps spread evenly? We compare OSM points against two government lists — CHAS clinics and ECDA preschools — and work out what share of real facilities OSM actually contains. We then check whether the missing ones are concentrated in particular kinds of town. H₀: the share of missing facilities is the same in mature and non-mature towns, tested with a two-proportion test. This matters because gaps that cluster in one part of the island would distort every map we make afterwards.</w:t>
      </w:r>
    </w:p>
    <w:p>
      <w:pPr>
        <w:pStyle w:val="ListParagraph"/>
        <w:numPr>
          <w:ilvl w:val="0"/>
          <w:numId w:val="2"/>
        </w:numPr>
        <w:spacing w:after="60" w:line="230"/>
        <w:jc w:val="both"/>
      </w:pPr>
      <w:r>
        <w:rPr>
          <w:rFonts w:ascii="Calibri" w:cs="Calibri" w:eastAsia="Calibri" w:hAnsi="Calibri"/>
          <w:b/>
          <w:bCs/>
          <w:sz w:val="19"/>
          <w:szCs w:val="19"/>
        </w:rPr>
        <w:t xml:space="preserve">Q2 (Is access clustered?). </w:t>
      </w:r>
      <w:r>
        <w:rPr>
          <w:rFonts w:ascii="Calibri" w:cs="Calibri" w:eastAsia="Calibri" w:hAnsi="Calibri"/>
          <w:sz w:val="19"/>
          <w:szCs w:val="19"/>
        </w:rPr>
        <w:t xml:space="preserve">Is access clustered, or scattered more or less at random, and is one city more clustered than the other? H₀: Moran's I = 0, meaning no spatial pattern, against H₁: I ≠ 0, run separately for each city using a permutation test. LISA and Getis-Ord Gi* then show where the high and low clusters actually sit.</w:t>
      </w:r>
    </w:p>
    <w:p>
      <w:pPr>
        <w:pStyle w:val="ListParagraph"/>
        <w:numPr>
          <w:ilvl w:val="0"/>
          <w:numId w:val="2"/>
        </w:numPr>
        <w:spacing w:after="60" w:line="230"/>
        <w:jc w:val="both"/>
      </w:pPr>
      <w:r>
        <w:rPr>
          <w:rFonts w:ascii="Calibri" w:cs="Calibri" w:eastAsia="Calibri" w:hAnsi="Calibri"/>
          <w:b/>
          <w:bCs/>
          <w:sz w:val="19"/>
          <w:szCs w:val="19"/>
        </w:rPr>
        <w:t xml:space="preserve">Q3 (Who gets good access?). </w:t>
      </w:r>
      <w:r>
        <w:rPr>
          <w:rFonts w:ascii="Calibri" w:cs="Calibri" w:eastAsia="Calibri" w:hAnsi="Calibri"/>
          <w:sz w:val="19"/>
          <w:szCs w:val="19"/>
        </w:rPr>
        <w:t xml:space="preserve">Do areas with more elderly residents, or with more lower-cost housing, have worse access? H₀: the coefficients on elderly share and housing mix are zero, against one-sided alternatives (negative for elderly share). We start with ordinary least squares; if the residuals turn out to be spatially correlated, we refit with a spatial error model, which is the standard fix. We also check a narrower version: is access to health and recreation specifically worse where there are more elderly residents? Because both censuses report housing type, we can repeat the model for Hong Kong if time allows.</w:t>
      </w:r>
    </w:p>
    <w:p>
      <w:pPr>
        <w:pStyle w:val="ListParagraph"/>
        <w:numPr>
          <w:ilvl w:val="0"/>
          <w:numId w:val="2"/>
        </w:numPr>
        <w:spacing w:after="60" w:line="230"/>
        <w:jc w:val="both"/>
      </w:pPr>
      <w:r>
        <w:rPr>
          <w:rFonts w:ascii="Calibri" w:cs="Calibri" w:eastAsia="Calibri" w:hAnsi="Calibri"/>
          <w:b/>
          <w:bCs/>
          <w:sz w:val="19"/>
          <w:szCs w:val="19"/>
        </w:rPr>
        <w:t xml:space="preserve">Q4 (Neighbourhood types — machine learning). </w:t>
      </w:r>
      <w:r>
        <w:rPr>
          <w:rFonts w:ascii="Calibri" w:cs="Calibri" w:eastAsia="Calibri" w:hAnsi="Calibri"/>
          <w:sz w:val="19"/>
          <w:szCs w:val="19"/>
        </w:rPr>
        <w:t xml:space="preserve">Do the same kinds of neighbourhood appear in both cities? We group all small areas by their six category scores using k-means, pick the number of groups with the elbow and silhouette methods, and check the groups are stable by re-running on resampled data. H₀: the mix of types is the same in both cities, tested with a chi-square test. Finally we train a random forest on Singapore to predict a neighbourhood's type from its population and built-form characteristics, and apply it to Hong Kong to see whether what explains Singapore also explains Hong Kong.</w:t>
      </w:r>
    </w:p>
    <w:p>
      <w:pPr>
        <w:pStyle w:val="Heading1"/>
        <w:spacing w:after="90" w:before="190"/>
      </w:pPr>
      <w:r>
        <w:rPr>
          <w:rFonts w:ascii="Calibri" w:cs="Calibri" w:eastAsia="Calibri" w:hAnsi="Calibri"/>
          <w:b/>
          <w:bCs/>
          <w:color w:val="1F3864"/>
          <w:sz w:val="23"/>
          <w:szCs w:val="23"/>
        </w:rPr>
        <w:t xml:space="preserve">Data</w:t>
      </w:r>
    </w:p>
    <w:p>
      <w:pPr>
        <w:spacing w:after="90" w:line="230"/>
        <w:jc w:val="both"/>
      </w:pPr>
      <w:r>
        <w:rPr>
          <w:rFonts w:ascii="Calibri" w:cs="Calibri" w:eastAsia="Calibri" w:hAnsi="Calibri"/>
          <w:sz w:val="19"/>
          <w:szCs w:val="19"/>
        </w:rPr>
        <w:t xml:space="preserve">Six open datasets, all free to download and none needing an application or licence. OpenStreetMap supplies the facility locations and is the only source available in the same form for both cities, which is what makes the comparison possible. The two Singapore government lists are used only to check OpenStreetMap, not as the main source.</w:t>
      </w:r>
    </w:p>
    <w:tbl>
      <w:tblPr>
        <w:tblW w:type="dxa" w:w="9746"/>
        <w:tblBorders>
          <w:top w:val="single" w:color="AAAAAA" w:sz="2"/>
          <w:left w:val="none"/>
          <w:bottom w:val="single" w:color="AAAAAA" w:sz="2"/>
          <w:right w:val="none"/>
          <w:insideH w:val="single" w:color="D9D9D9" w:sz="1"/>
          <w:insideV w:val="none"/>
        </w:tblBorders>
      </w:tblPr>
      <w:tblGrid>
        <w:gridCol w:w="2450"/>
        <w:gridCol w:w="2550"/>
        <w:gridCol w:w="4746"/>
      </w:tblGrid>
      <w:tr>
        <w:trPr>
          <w:tblHeader/>
        </w:trPr>
        <w:tc>
          <w:tcPr>
            <w:tcW w:type="dxa" w:w="245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Dataset</w:t>
            </w:r>
          </w:p>
        </w:tc>
        <w:tc>
          <w:tcPr>
            <w:tcW w:type="dxa" w:w="255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Source</w:t>
            </w:r>
          </w:p>
        </w:tc>
        <w:tc>
          <w:tcPr>
            <w:tcW w:type="dxa" w:w="4746"/>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What we use it for</w:t>
            </w:r>
          </w:p>
        </w:tc>
      </w:tr>
      <w:tr>
        <w:trPr>
          <w:tblHeader w:val="false"/>
        </w:trPr>
        <w:tc>
          <w:tcPr>
            <w:tcW w:type="dxa" w:w="24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Amenity points in 6 categories, and the footway network (SG + HK)</w:t>
            </w:r>
          </w:p>
        </w:tc>
        <w:tc>
          <w:tcPr>
            <w:tcW w:type="dxa" w:w="25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OpenStreetMap via Geofabrik / Overpass</w:t>
            </w:r>
          </w:p>
        </w:tc>
        <w:tc>
          <w:tcPr>
            <w:tcW w:type="dxa" w:w="47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Locating the facilities, using the same extraction query in both cities; the same download also gives the footpaths we need to check our distance estimate</w:t>
            </w:r>
          </w:p>
        </w:tc>
      </w:tr>
      <w:tr>
        <w:trPr>
          <w:tblHeader w:val="false"/>
        </w:trPr>
        <w:tc>
          <w:tcPr>
            <w:tcW w:type="dxa" w:w="24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CHAS clinic directory; ECDA preschool listing</w:t>
            </w:r>
          </w:p>
        </w:tc>
        <w:tc>
          <w:tcPr>
            <w:tcW w:type="dxa" w:w="25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data.gov.sg</w:t>
            </w:r>
          </w:p>
        </w:tc>
        <w:tc>
          <w:tcPr>
            <w:tcW w:type="dxa" w:w="47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Checking how complete OpenStreetMap is in the two categories most likely to be missing entries (Q1)</w:t>
            </w:r>
          </w:p>
        </w:tc>
      </w:tr>
      <w:tr>
        <w:trPr>
          <w:tblHeader w:val="false"/>
        </w:trPr>
        <w:tc>
          <w:tcPr>
            <w:tcW w:type="dxa" w:w="24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Household Expenditure Survey 2023</w:t>
            </w:r>
          </w:p>
        </w:tc>
        <w:tc>
          <w:tcPr>
            <w:tcW w:type="dxa" w:w="25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SingStat / data.gov.sg</w:t>
            </w:r>
          </w:p>
        </w:tc>
        <w:tc>
          <w:tcPr>
            <w:tcW w:type="dxa" w:w="47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Spending shares by category, which become the six weights</w:t>
            </w:r>
          </w:p>
        </w:tc>
      </w:tr>
      <w:tr>
        <w:trPr>
          <w:tblHeader w:val="false"/>
        </w:trPr>
        <w:tc>
          <w:tcPr>
            <w:tcW w:type="dxa" w:w="24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Master Plan 2019 subzone boundaries</w:t>
            </w:r>
          </w:p>
        </w:tc>
        <w:tc>
          <w:tcPr>
            <w:tcW w:type="dxa" w:w="25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URA / data.gov.sg</w:t>
            </w:r>
          </w:p>
        </w:tc>
        <w:tc>
          <w:tcPr>
            <w:tcW w:type="dxa" w:w="47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Singapore areas of analysis (about 332 subzones)</w:t>
            </w:r>
          </w:p>
        </w:tc>
      </w:tr>
      <w:tr>
        <w:trPr>
          <w:tblHeader w:val="false"/>
        </w:trPr>
        <w:tc>
          <w:tcPr>
            <w:tcW w:type="dxa" w:w="24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Census 2020 by subzone: age and sex; type of dwelling</w:t>
            </w:r>
          </w:p>
        </w:tc>
        <w:tc>
          <w:tcPr>
            <w:tcW w:type="dxa" w:w="25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SingStat / data.gov.sg</w:t>
            </w:r>
          </w:p>
        </w:tc>
        <w:tc>
          <w:tcPr>
            <w:tcW w:type="dxa" w:w="47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Population, elderly share, and housing mix as the socio-economic measure (Q3)</w:t>
            </w:r>
          </w:p>
        </w:tc>
      </w:tr>
      <w:tr>
        <w:trPr>
          <w:tblHeader w:val="false"/>
        </w:trPr>
        <w:tc>
          <w:tcPr>
            <w:tcW w:type="dxa" w:w="24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2021 Population Census by Small Tertiary Planning Unit Group, with boundaries</w:t>
            </w:r>
          </w:p>
        </w:tc>
        <w:tc>
          <w:tcPr>
            <w:tcW w:type="dxa" w:w="255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HK C&amp;SD / data.gov.hk</w:t>
            </w:r>
          </w:p>
        </w:tc>
        <w:tc>
          <w:tcPr>
            <w:tcW w:type="dxa" w:w="47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Hong Kong areas of analysis, population, elderly share and the matching housing measure</w:t>
            </w:r>
          </w:p>
        </w:tc>
      </w:tr>
    </w:tbl>
    <w:p>
      <w:pPr>
        <w:spacing w:after="0" w:line="120"/>
      </w:pPr>
      <w:r>
        <w:rPr>
          <w:rFonts w:ascii="Calibri" w:cs="Calibri" w:eastAsia="Calibri" w:hAnsi="Calibri"/>
          <w:sz w:val="8"/>
          <w:szCs w:val="8"/>
        </w:rPr>
        <w:t xml:space="preserve"/>
      </w:r>
    </w:p>
    <w:p>
      <w:pPr>
        <w:spacing w:after="90" w:line="230"/>
        <w:jc w:val="both"/>
      </w:pPr>
      <w:r>
        <w:rPr>
          <w:rFonts w:ascii="Calibri" w:cs="Calibri" w:eastAsia="Calibri" w:hAnsi="Calibri"/>
          <w:b/>
          <w:bCs/>
          <w:sz w:val="19"/>
          <w:szCs w:val="19"/>
        </w:rPr>
        <w:t xml:space="preserve">Data collection. </w:t>
      </w:r>
      <w:r>
        <w:rPr>
          <w:rFonts w:ascii="Calibri" w:cs="Calibri" w:eastAsia="Calibri" w:hAnsi="Calibri"/>
          <w:sz w:val="19"/>
          <w:szCs w:val="19"/>
        </w:rPr>
        <w:t xml:space="preserve">There is no survey to run — everything is downloaded. Two steps are still work we do ourselves rather than data we are handed: matching the OpenStreetMap points against the two government lists to see what is missing, and routing about 200 sample journeys along the footpath network to check how far our straight-line distance estimate is off. Neither is on the critical path, so if one runs late it does not hold anyone else up.</w:t>
      </w:r>
    </w:p>
    <w:p>
      <w:pPr>
        <w:pStyle w:val="Heading1"/>
        <w:spacing w:after="90" w:before="190"/>
      </w:pPr>
      <w:r>
        <w:rPr>
          <w:rFonts w:ascii="Calibri" w:cs="Calibri" w:eastAsia="Calibri" w:hAnsi="Calibri"/>
          <w:b/>
          <w:bCs/>
          <w:color w:val="1F3864"/>
          <w:sz w:val="23"/>
          <w:szCs w:val="23"/>
        </w:rPr>
        <w:t xml:space="preserve">Where the Weights Come From</w:t>
      </w:r>
    </w:p>
    <w:p>
      <w:pPr>
        <w:spacing w:after="90" w:line="230"/>
        <w:jc w:val="both"/>
      </w:pPr>
      <w:r>
        <w:rPr>
          <w:rFonts w:ascii="Calibri" w:cs="Calibri" w:eastAsia="Calibri" w:hAnsi="Calibri"/>
          <w:sz w:val="19"/>
          <w:szCs w:val="19"/>
        </w:rPr>
        <w:t xml:space="preserve">We use six categories. Spending divisions that do not correspond to somewhere you walk to are left out: housing and utilities, communications, accommodation, and financial services. Transport spending is left out too, even though location clearly matters for it, because in Singapore it is mostly the cost of owning a car — which says nothing about how close the nearest MRT station is. Distance to transit goes into the models as its own variable instead. The weight for each category is simply its share of spending across the six we keep.</w:t>
      </w:r>
    </w:p>
    <w:tbl>
      <w:tblPr>
        <w:tblW w:type="dxa" w:w="9746"/>
        <w:tblBorders>
          <w:top w:val="single" w:color="AAAAAA" w:sz="2"/>
          <w:left w:val="none"/>
          <w:bottom w:val="single" w:color="AAAAAA" w:sz="2"/>
          <w:right w:val="none"/>
          <w:insideH w:val="single" w:color="D9D9D9" w:sz="1"/>
          <w:insideV w:val="none"/>
        </w:tblBorders>
      </w:tblPr>
      <w:tblGrid>
        <w:gridCol w:w="3000"/>
        <w:gridCol w:w="3400"/>
        <w:gridCol w:w="1650"/>
        <w:gridCol w:w="1696"/>
      </w:tblGrid>
      <w:tr>
        <w:trPr>
          <w:tblHeader/>
        </w:trPr>
        <w:tc>
          <w:tcPr>
            <w:tcW w:type="dxa" w:w="300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Category</w:t>
            </w:r>
          </w:p>
        </w:tc>
        <w:tc>
          <w:tcPr>
            <w:tcW w:type="dxa" w:w="340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Example facilities</w:t>
            </w:r>
          </w:p>
        </w:tc>
        <w:tc>
          <w:tcPr>
            <w:tcW w:type="dxa" w:w="165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S$/month, 2023</w:t>
            </w:r>
          </w:p>
        </w:tc>
        <w:tc>
          <w:tcPr>
            <w:tcW w:type="dxa" w:w="1696"/>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Weight</w:t>
            </w:r>
          </w:p>
        </w:tc>
      </w:tr>
      <w:tr>
        <w:trPr>
          <w:tblHeader w:val="false"/>
        </w:trPr>
        <w:tc>
          <w:tcPr>
            <w:tcW w:type="dxa" w:w="30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Food services</w:t>
            </w:r>
          </w:p>
        </w:tc>
        <w:tc>
          <w:tcPr>
            <w:tcW w:type="dxa" w:w="3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Hawker centres, coffee shops, eateries</w:t>
            </w:r>
          </w:p>
        </w:tc>
        <w:tc>
          <w:tcPr>
            <w:tcW w:type="dxa" w:w="1650"/>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965.7</w:t>
            </w:r>
          </w:p>
        </w:tc>
        <w:tc>
          <w:tcPr>
            <w:tcW w:type="dxa" w:w="1696"/>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30.8%</w:t>
            </w:r>
          </w:p>
        </w:tc>
      </w:tr>
      <w:tr>
        <w:trPr>
          <w:tblHeader w:val="false"/>
        </w:trPr>
        <w:tc>
          <w:tcPr>
            <w:tcW w:type="dxa" w:w="30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Retail goods</w:t>
            </w:r>
          </w:p>
        </w:tc>
        <w:tc>
          <w:tcPr>
            <w:tcW w:type="dxa" w:w="3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Clothing, household goods, general retail</w:t>
            </w:r>
          </w:p>
        </w:tc>
        <w:tc>
          <w:tcPr>
            <w:tcW w:type="dxa" w:w="1650"/>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504.2</w:t>
            </w:r>
          </w:p>
        </w:tc>
        <w:tc>
          <w:tcPr>
            <w:tcW w:type="dxa" w:w="1696"/>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16.1%</w:t>
            </w:r>
          </w:p>
        </w:tc>
      </w:tr>
      <w:tr>
        <w:trPr>
          <w:tblHeader w:val="false"/>
        </w:trPr>
        <w:tc>
          <w:tcPr>
            <w:tcW w:type="dxa" w:w="30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Health</w:t>
            </w:r>
          </w:p>
        </w:tc>
        <w:tc>
          <w:tcPr>
            <w:tcW w:type="dxa" w:w="3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GP and dental clinics, polyclinics, pharmacies</w:t>
            </w:r>
          </w:p>
        </w:tc>
        <w:tc>
          <w:tcPr>
            <w:tcW w:type="dxa" w:w="1650"/>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473.5</w:t>
            </w:r>
          </w:p>
        </w:tc>
        <w:tc>
          <w:tcPr>
            <w:tcW w:type="dxa" w:w="1696"/>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15.1%</w:t>
            </w:r>
          </w:p>
        </w:tc>
      </w:tr>
      <w:tr>
        <w:trPr>
          <w:tblHeader w:val="false"/>
        </w:trPr>
        <w:tc>
          <w:tcPr>
            <w:tcW w:type="dxa" w:w="30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Food retail</w:t>
            </w:r>
          </w:p>
        </w:tc>
        <w:tc>
          <w:tcPr>
            <w:tcW w:type="dxa" w:w="3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Supermarkets, wet markets, minimarts</w:t>
            </w:r>
          </w:p>
        </w:tc>
        <w:tc>
          <w:tcPr>
            <w:tcW w:type="dxa" w:w="1650"/>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455.9</w:t>
            </w:r>
          </w:p>
        </w:tc>
        <w:tc>
          <w:tcPr>
            <w:tcW w:type="dxa" w:w="1696"/>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14.5%</w:t>
            </w:r>
          </w:p>
        </w:tc>
      </w:tr>
      <w:tr>
        <w:trPr>
          <w:tblHeader w:val="false"/>
        </w:trPr>
        <w:tc>
          <w:tcPr>
            <w:tcW w:type="dxa" w:w="30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Education</w:t>
            </w:r>
          </w:p>
        </w:tc>
        <w:tc>
          <w:tcPr>
            <w:tcW w:type="dxa" w:w="3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Preschools, schools, libraries, tuition centres</w:t>
            </w:r>
          </w:p>
        </w:tc>
        <w:tc>
          <w:tcPr>
            <w:tcW w:type="dxa" w:w="1650"/>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404.2</w:t>
            </w:r>
          </w:p>
        </w:tc>
        <w:tc>
          <w:tcPr>
            <w:tcW w:type="dxa" w:w="1696"/>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12.9%</w:t>
            </w:r>
          </w:p>
        </w:tc>
      </w:tr>
      <w:tr>
        <w:trPr>
          <w:tblHeader w:val="false"/>
        </w:trPr>
        <w:tc>
          <w:tcPr>
            <w:tcW w:type="dxa" w:w="30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Recreation, sport and culture</w:t>
            </w:r>
          </w:p>
        </w:tc>
        <w:tc>
          <w:tcPr>
            <w:tcW w:type="dxa" w:w="3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Parks, sports facilities, gyms, community clubs</w:t>
            </w:r>
          </w:p>
        </w:tc>
        <w:tc>
          <w:tcPr>
            <w:tcW w:type="dxa" w:w="1650"/>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334.7</w:t>
            </w:r>
          </w:p>
        </w:tc>
        <w:tc>
          <w:tcPr>
            <w:tcW w:type="dxa" w:w="1696"/>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10.7%</w:t>
            </w:r>
          </w:p>
        </w:tc>
      </w:tr>
      <w:tr>
        <w:trPr>
          <w:tblHeader w:val="false"/>
        </w:trPr>
        <w:tc>
          <w:tcPr>
            <w:tcW w:type="dxa" w:w="30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Total</w:t>
            </w:r>
          </w:p>
        </w:tc>
        <w:tc>
          <w:tcPr>
            <w:tcW w:type="dxa" w:w="34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
            </w:r>
          </w:p>
        </w:tc>
        <w:tc>
          <w:tcPr>
            <w:tcW w:type="dxa" w:w="1650"/>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3,138.2</w:t>
            </w:r>
          </w:p>
        </w:tc>
        <w:tc>
          <w:tcPr>
            <w:tcW w:type="dxa" w:w="1696"/>
            <w:tcMar>
              <w:top w:type="dxa" w:w="50"/>
              <w:left w:type="dxa" w:w="80"/>
              <w:bottom w:type="dxa" w:w="50"/>
              <w:right w:type="dxa" w:w="80"/>
            </w:tcMar>
          </w:tcPr>
          <w:p>
            <w:pPr>
              <w:spacing w:after="0" w:line="210"/>
              <w:jc w:val="right"/>
            </w:pPr>
            <w:r>
              <w:rPr>
                <w:rFonts w:ascii="Calibri" w:cs="Calibri" w:eastAsia="Calibri" w:hAnsi="Calibri"/>
                <w:b w:val="false"/>
                <w:bCs w:val="false"/>
                <w:sz w:val="17"/>
                <w:szCs w:val="17"/>
              </w:rPr>
              <w:t xml:space="preserve">100%</w:t>
            </w:r>
          </w:p>
        </w:tc>
      </w:tr>
    </w:tbl>
    <w:p>
      <w:pPr>
        <w:spacing w:after="0" w:line="120"/>
      </w:pPr>
      <w:r>
        <w:rPr>
          <w:rFonts w:ascii="Calibri" w:cs="Calibri" w:eastAsia="Calibri" w:hAnsi="Calibri"/>
          <w:sz w:val="8"/>
          <w:szCs w:val="8"/>
        </w:rPr>
        <w:t xml:space="preserve"/>
      </w:r>
    </w:p>
    <w:p>
      <w:pPr>
        <w:spacing w:after="90" w:line="230"/>
        <w:jc w:val="both"/>
      </w:pPr>
      <w:r>
        <w:rPr>
          <w:rFonts w:ascii="Calibri" w:cs="Calibri" w:eastAsia="Calibri" w:hAnsi="Calibri"/>
          <w:b/>
          <w:bCs/>
          <w:sz w:val="19"/>
          <w:szCs w:val="19"/>
        </w:rPr>
        <w:t xml:space="preserve">Two things to be upfront about. </w:t>
      </w:r>
      <w:r>
        <w:rPr>
          <w:rFonts w:ascii="Calibri" w:cs="Calibri" w:eastAsia="Calibri" w:hAnsi="Calibri"/>
          <w:sz w:val="19"/>
          <w:szCs w:val="19"/>
        </w:rPr>
        <w:t xml:space="preserve">Spending share is not the same as how often you go somewhere. Healthcare takes a large share of the budget but generates few trips, while eating out generates both. We are accepting that, on the grounds that a weight taken from data is better than one we invented, and we will also recompute the score with all six categories weighted equally to show the results do not depend on it. Second, spending data says nothing about differences </w:t>
      </w:r>
      <w:r>
        <w:rPr>
          <w:rFonts w:ascii="Calibri" w:cs="Calibri" w:eastAsia="Calibri" w:hAnsi="Calibri"/>
          <w:i/>
          <w:iCs/>
          <w:sz w:val="19"/>
          <w:szCs w:val="19"/>
        </w:rPr>
        <w:t xml:space="preserve">within</w:t>
      </w:r>
      <w:r>
        <w:rPr>
          <w:rFonts w:ascii="Calibri" w:cs="Calibri" w:eastAsia="Calibri" w:hAnsi="Calibri"/>
          <w:sz w:val="19"/>
          <w:szCs w:val="19"/>
        </w:rPr>
        <w:t xml:space="preserve"> a category — it cannot tell us whether a badminton court is worth more than a gym. Rather than make those numbers up, we count variety instead: an area with three different kinds of sports facility scores higher than one with three of the same. Singapore's weights are used for both cities, so that any difference we find reflects what is on the ground rather than different spending habits.</w:t>
      </w:r>
    </w:p>
    <w:p>
      <w:pPr>
        <w:pStyle w:val="Heading1"/>
        <w:spacing w:after="90" w:before="190"/>
      </w:pPr>
      <w:r>
        <w:rPr>
          <w:rFonts w:ascii="Calibri" w:cs="Calibri" w:eastAsia="Calibri" w:hAnsi="Calibri"/>
          <w:b/>
          <w:bCs/>
          <w:color w:val="1F3864"/>
          <w:sz w:val="23"/>
          <w:szCs w:val="23"/>
        </w:rPr>
        <w:t xml:space="preserve">Method</w:t>
      </w:r>
    </w:p>
    <w:p>
      <w:pPr>
        <w:spacing w:after="90" w:line="230"/>
        <w:jc w:val="both"/>
      </w:pPr>
      <w:r>
        <w:rPr>
          <w:rFonts w:ascii="Calibri" w:cs="Calibri" w:eastAsia="Calibri" w:hAnsi="Calibri"/>
          <w:b/>
          <w:bCs/>
          <w:sz w:val="19"/>
          <w:szCs w:val="19"/>
        </w:rPr>
        <w:t xml:space="preserve">1. The access score. </w:t>
      </w:r>
      <w:r>
        <w:rPr>
          <w:rFonts w:ascii="Calibri" w:cs="Calibri" w:eastAsia="Calibri" w:hAnsi="Calibri"/>
          <w:sz w:val="19"/>
          <w:szCs w:val="19"/>
        </w:rPr>
        <w:t xml:space="preserve">For each small area we count how many facilities of each category lie within a 1 km walk of its population-weighted centre, apply a log transform so that a shopping district does not swamp everything else, multiply by the variety measure, weight the six categories by their spending shares and add them up. Scores are rescaled to 0–100 so the two cities can be compared. Distances are straight-line multiplied by a detour factor rather than routed through the street network for every pair, because building a clean pedestrian network for two whole cities is the step most likely to eat the semester. We estimate that factor from the 200 routed sample journeys and report how far off the approximation is, so the shortcut is measured rather than assumed.</w:t>
      </w:r>
    </w:p>
    <w:p>
      <w:pPr>
        <w:spacing w:after="90" w:line="230"/>
        <w:jc w:val="both"/>
      </w:pPr>
      <w:r>
        <w:rPr>
          <w:rFonts w:ascii="Calibri" w:cs="Calibri" w:eastAsia="Calibri" w:hAnsi="Calibri"/>
          <w:b/>
          <w:bCs/>
          <w:sz w:val="19"/>
          <w:szCs w:val="19"/>
        </w:rPr>
        <w:t xml:space="preserve">2. Checking the data (Q1). </w:t>
      </w:r>
      <w:r>
        <w:rPr>
          <w:rFonts w:ascii="Calibri" w:cs="Calibri" w:eastAsia="Calibri" w:hAnsi="Calibri"/>
          <w:sz w:val="19"/>
          <w:szCs w:val="19"/>
        </w:rPr>
        <w:t xml:space="preserve">OpenStreetMap points are matched to the government records by location and name, which tells us what share of real clinics and preschools OSM contains. These two categories are the hardest case — both are mostly small units inside HDB blocks, exactly what contributors tend to miss — so whatever we find is close to a worst case for the other four. We then compare the share missing in mature versus non-mature towns with a two-proportion test, and map it, so that if the gaps do cluster we can say so explicitly when reading Q2.</w:t>
      </w:r>
    </w:p>
    <w:p>
      <w:pPr>
        <w:spacing w:after="90" w:line="230"/>
        <w:jc w:val="both"/>
      </w:pPr>
      <w:r>
        <w:rPr>
          <w:rFonts w:ascii="Calibri" w:cs="Calibri" w:eastAsia="Calibri" w:hAnsi="Calibri"/>
          <w:b/>
          <w:bCs/>
          <w:sz w:val="19"/>
          <w:szCs w:val="19"/>
        </w:rPr>
        <w:t xml:space="preserve">3. Spatial statistics (Q2). </w:t>
      </w:r>
      <w:r>
        <w:rPr>
          <w:rFonts w:ascii="Calibri" w:cs="Calibri" w:eastAsia="Calibri" w:hAnsi="Calibri"/>
          <w:sz w:val="19"/>
          <w:szCs w:val="19"/>
        </w:rPr>
        <w:t xml:space="preserve">Global Moran's I on the score for each city, using a queen contiguity weights matrix with k-nearest-neighbours as a check, and 999 permutations for the significance test. LISA and Getis-Ord Gi* then map the local clusters. Because that means running several hundred local tests at once, we adjust the p-values for the number of tests, which is a one-line correction in R and avoids reporting clusters that are just chance.</w:t>
      </w:r>
    </w:p>
    <w:p>
      <w:pPr>
        <w:spacing w:after="90" w:line="230"/>
        <w:jc w:val="both"/>
      </w:pPr>
      <w:r>
        <w:rPr>
          <w:rFonts w:ascii="Calibri" w:cs="Calibri" w:eastAsia="Calibri" w:hAnsi="Calibri"/>
          <w:b/>
          <w:bCs/>
          <w:sz w:val="19"/>
          <w:szCs w:val="19"/>
        </w:rPr>
        <w:t xml:space="preserve">4. Regression (Q3). </w:t>
      </w:r>
      <w:r>
        <w:rPr>
          <w:rFonts w:ascii="Calibri" w:cs="Calibri" w:eastAsia="Calibri" w:hAnsi="Calibri"/>
          <w:sz w:val="19"/>
          <w:szCs w:val="19"/>
        </w:rPr>
        <w:t xml:space="preserve">We regress the score on elderly share, housing mix, population density and distance to transit. Ordinary least squares first, then a check on whether the residuals are spatially correlated; if they are, we refit as a spatial error model. We also check the predictors are not too collinear. One thing to expect: shops go where people are, so population density will almost certainly come out strongly positive. That is not a finding, it is a control, and we treat it as one. Subzones with almost no residents are dropped and we report how many remain.</w:t>
      </w:r>
    </w:p>
    <w:p>
      <w:pPr>
        <w:spacing w:after="90" w:line="230"/>
        <w:jc w:val="both"/>
      </w:pPr>
      <w:r>
        <w:rPr>
          <w:rFonts w:ascii="Calibri" w:cs="Calibri" w:eastAsia="Calibri" w:hAnsi="Calibri"/>
          <w:b/>
          <w:bCs/>
          <w:sz w:val="19"/>
          <w:szCs w:val="19"/>
        </w:rPr>
        <w:t xml:space="preserve">5. Clustering and prediction (Q4). </w:t>
      </w:r>
      <w:r>
        <w:rPr>
          <w:rFonts w:ascii="Calibri" w:cs="Calibri" w:eastAsia="Calibri" w:hAnsi="Calibri"/>
          <w:sz w:val="19"/>
          <w:szCs w:val="19"/>
        </w:rPr>
        <w:t xml:space="preserve">Small areas from both cities are grouped together by k-means on their six category scores, with the number of groups chosen by elbow and silhouette and confirmed by re-running on resampled data — groups that move around a lot get reported as unstable rather than given a name. A chi-square test then asks whether the mix of types differs between the cities. Last, a random forest trained on Singapore predicts a neighbourhood's type from its characteristics and is applied to Hong Kong. When we split the data for cross-validation we split it geographically rather than at random, because neighbouring areas are so similar that random folds would make the model look better than it is.</w:t>
      </w:r>
    </w:p>
    <w:p>
      <w:pPr>
        <w:spacing w:after="90" w:line="230"/>
        <w:jc w:val="both"/>
      </w:pPr>
      <w:r>
        <w:rPr>
          <w:rFonts w:ascii="Calibri" w:cs="Calibri" w:eastAsia="Calibri" w:hAnsi="Calibri"/>
          <w:b/>
          <w:bCs/>
          <w:sz w:val="19"/>
          <w:szCs w:val="19"/>
        </w:rPr>
        <w:t xml:space="preserve">Methods from outside this module. </w:t>
      </w:r>
      <w:r>
        <w:rPr>
          <w:rFonts w:ascii="Calibri" w:cs="Calibri" w:eastAsia="Calibri" w:hAnsi="Calibri"/>
          <w:sz w:val="19"/>
          <w:szCs w:val="19"/>
        </w:rPr>
        <w:t xml:space="preserve">Precision and recall for checking one dataset against another; a two-proportion test; correcting p-values for multiple testing; k-means with silhouette and stability checking; random forests; and geographically split cross-validation. None of these are covered in the lectures, and each is owned by whichever member needs it, so we each read up on one rather than all four of us on everything.</w:t>
      </w:r>
    </w:p>
    <w:p>
      <w:pPr>
        <w:spacing w:after="90" w:line="230"/>
        <w:jc w:val="both"/>
      </w:pPr>
      <w:r>
        <w:rPr>
          <w:rFonts w:ascii="Calibri" w:cs="Calibri" w:eastAsia="Calibri" w:hAnsi="Calibri"/>
          <w:b/>
          <w:bCs/>
          <w:sz w:val="19"/>
          <w:szCs w:val="19"/>
        </w:rPr>
        <w:t xml:space="preserve">Tools. </w:t>
      </w:r>
      <w:r>
        <w:rPr>
          <w:rFonts w:ascii="Calibri" w:cs="Calibri" w:eastAsia="Calibri" w:hAnsi="Calibri"/>
          <w:sz w:val="19"/>
          <w:szCs w:val="19"/>
        </w:rPr>
        <w:t xml:space="preserve">R throughout: sf for spatial data, tmap and ggplot2 for maps, osmdata for the OpenStreetMap extraction, spdep and spatialreg for the spatial statistics and regression, cluster and factoextra for the clustering, ranger and tidymodels for the random forest. The whole thing lives in one R Markdown document so it can be re-run from scratch, which also means a change to the weights is a re-run rather than redoing the work.</w:t>
      </w:r>
    </w:p>
    <w:p>
      <w:pPr>
        <w:pStyle w:val="Heading1"/>
        <w:spacing w:after="90" w:before="190"/>
      </w:pPr>
      <w:r>
        <w:rPr>
          <w:rFonts w:ascii="Calibri" w:cs="Calibri" w:eastAsia="Calibri" w:hAnsi="Calibri"/>
          <w:b/>
          <w:bCs/>
          <w:color w:val="1F3864"/>
          <w:sz w:val="23"/>
          <w:szCs w:val="23"/>
        </w:rPr>
        <w:t xml:space="preserve">Work Plan</w:t>
      </w:r>
    </w:p>
    <w:p>
      <w:pPr>
        <w:spacing w:after="90" w:line="230"/>
        <w:jc w:val="both"/>
      </w:pPr>
      <w:r>
        <w:rPr>
          <w:rFonts w:ascii="Calibri" w:cs="Calibri" w:eastAsia="Calibri" w:hAnsi="Calibri"/>
          <w:sz w:val="19"/>
          <w:szCs w:val="19"/>
        </w:rPr>
        <w:t xml:space="preserve">Everyone works in parallel from Week 3. The one real dependency is that the other three questions all need the access score, so Member 1 releases a rough version at the end of Week 2 for everyone else to start on, and the code is written so that the final score is a re-run rather than a rewrite.</w:t>
      </w:r>
    </w:p>
    <w:tbl>
      <w:tblPr>
        <w:tblW w:type="dxa" w:w="9746"/>
        <w:tblBorders>
          <w:top w:val="single" w:color="AAAAAA" w:sz="2"/>
          <w:left w:val="none"/>
          <w:bottom w:val="single" w:color="AAAAAA" w:sz="2"/>
          <w:right w:val="none"/>
          <w:insideH w:val="single" w:color="D9D9D9" w:sz="1"/>
          <w:insideV w:val="none"/>
        </w:tblBorders>
      </w:tblPr>
      <w:tblGrid>
        <w:gridCol w:w="700"/>
        <w:gridCol w:w="7100"/>
        <w:gridCol w:w="1946"/>
      </w:tblGrid>
      <w:tr>
        <w:trPr>
          <w:tblHeader/>
        </w:trPr>
        <w:tc>
          <w:tcPr>
            <w:tcW w:type="dxa" w:w="70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Wk</w:t>
            </w:r>
          </w:p>
        </w:tc>
        <w:tc>
          <w:tcPr>
            <w:tcW w:type="dxa" w:w="7100"/>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What happens</w:t>
            </w:r>
          </w:p>
        </w:tc>
        <w:tc>
          <w:tcPr>
            <w:tcW w:type="dxa" w:w="1946"/>
            <w:shd w:fill="F2F2F2" w:color="auto" w:val="clear"/>
            <w:tcMar>
              <w:top w:type="dxa" w:w="50"/>
              <w:left w:type="dxa" w:w="80"/>
              <w:bottom w:type="dxa" w:w="50"/>
              <w:right w:type="dxa" w:w="80"/>
            </w:tcMar>
          </w:tcPr>
          <w:p>
            <w:pPr>
              <w:spacing w:after="0" w:line="210"/>
              <w:jc w:val="left"/>
            </w:pPr>
            <w:r>
              <w:rPr>
                <w:rFonts w:ascii="Calibri" w:cs="Calibri" w:eastAsia="Calibri" w:hAnsi="Calibri"/>
                <w:b/>
                <w:bCs/>
                <w:sz w:val="17"/>
                <w:szCs w:val="17"/>
              </w:rPr>
              <w:t xml:space="preserve">Lead</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1</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Confirm scope; download everything for both cities; sort out boundaries and projections (EPSG:3414 and EPSG:2326)</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All</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2</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OpenStreetMap extraction and cleaning; start matching against the government lists; rough equal-weight Singapore score released to the team</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M1</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3</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Check the distance shortcut against routed journeys; apply the spending weights; final score for both cities</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M1</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4</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Moran's I, LISA and Gi* for both cities</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M2</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5</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Data-completeness results and the gap-clustering test; regression with residual checks</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M1 / M3</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6</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k-means grouping, stability checks, chi-square test, and the Singapore-to-Hong-Kong random forest</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M4</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7</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Robustness checks (equal weights, Hong Kong regression if time); final maps and figures</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M2 / M4</w:t>
            </w:r>
          </w:p>
        </w:tc>
      </w:tr>
      <w:tr>
        <w:trPr>
          <w:tblHeader w:val="false"/>
        </w:trPr>
        <w:tc>
          <w:tcPr>
            <w:tcW w:type="dxa" w:w="7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8</w:t>
            </w:r>
          </w:p>
        </w:tc>
        <w:tc>
          <w:tcPr>
            <w:tcW w:type="dxa" w:w="7100"/>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Put the report together, internal review, presentation</w:t>
            </w:r>
          </w:p>
        </w:tc>
        <w:tc>
          <w:tcPr>
            <w:tcW w:type="dxa" w:w="1946"/>
            <w:tcMar>
              <w:top w:type="dxa" w:w="50"/>
              <w:left w:type="dxa" w:w="80"/>
              <w:bottom w:type="dxa" w:w="50"/>
              <w:right w:type="dxa" w:w="80"/>
            </w:tcMar>
          </w:tcPr>
          <w:p>
            <w:pPr>
              <w:spacing w:after="0" w:line="210"/>
              <w:jc w:val="left"/>
            </w:pPr>
            <w:r>
              <w:rPr>
                <w:rFonts w:ascii="Calibri" w:cs="Calibri" w:eastAsia="Calibri" w:hAnsi="Calibri"/>
                <w:b w:val="false"/>
                <w:bCs w:val="false"/>
                <w:sz w:val="17"/>
                <w:szCs w:val="17"/>
              </w:rPr>
              <w:t xml:space="preserve">All</w:t>
            </w:r>
          </w:p>
        </w:tc>
      </w:tr>
    </w:tbl>
    <w:p>
      <w:pPr>
        <w:spacing w:after="0" w:line="120"/>
      </w:pPr>
      <w:r>
        <w:rPr>
          <w:rFonts w:ascii="Calibri" w:cs="Calibri" w:eastAsia="Calibri" w:hAnsi="Calibri"/>
          <w:sz w:val="8"/>
          <w:szCs w:val="8"/>
        </w:rPr>
        <w:t xml:space="preserve"/>
      </w:r>
    </w:p>
    <w:p>
      <w:pPr>
        <w:spacing w:after="90" w:line="230"/>
        <w:jc w:val="both"/>
      </w:pPr>
      <w:r>
        <w:rPr>
          <w:rFonts w:ascii="Calibri" w:cs="Calibri" w:eastAsia="Calibri" w:hAnsi="Calibri"/>
          <w:b/>
          <w:bCs/>
          <w:sz w:val="19"/>
          <w:szCs w:val="19"/>
        </w:rPr>
        <w:t xml:space="preserve">What could go wrong. </w:t>
      </w:r>
      <w:r>
        <w:rPr>
          <w:rFonts w:ascii="Calibri" w:cs="Calibri" w:eastAsia="Calibri" w:hAnsi="Calibri"/>
          <w:sz w:val="19"/>
          <w:szCs w:val="19"/>
        </w:rPr>
        <w:t xml:space="preserve">Four things. (i) Building a pedestrian network for two cities is the usual way projects like this run out of time, so we have deliberately kept it off the critical path and use it only for the 200-journey check. (ii) OpenStreetMap may be more complete in one city than the other, which would make the comparison unfair; Q1 measures this for Singapore, and any category that comes out badly gets dropped from the cross-city comparison rather than quietly kept. (iii) Three people waiting on one score — handled by the rough Week 2 release. (iv) Hong Kong's boundary files and census tables are unfamiliar to us; they are published in English as well as Chinese and we have given ourselves two weeks. If we fall badly behind, the cut is to drop Hong Kong: Q4 becomes neighbourhood types within Singapore plus finding the areas whose access is worse than the model predicts, and the project still has four questions.</w:t>
      </w:r>
    </w:p>
    <w:p>
      <w:pPr>
        <w:pStyle w:val="Heading1"/>
        <w:spacing w:after="90" w:before="190"/>
      </w:pPr>
      <w:r>
        <w:rPr>
          <w:rFonts w:ascii="Calibri" w:cs="Calibri" w:eastAsia="Calibri" w:hAnsi="Calibri"/>
          <w:b/>
          <w:bCs/>
          <w:color w:val="1F3864"/>
          <w:sz w:val="23"/>
          <w:szCs w:val="23"/>
        </w:rPr>
        <w:t xml:space="preserve">What We Expect to Produce</w:t>
      </w:r>
    </w:p>
    <w:p>
      <w:pPr>
        <w:pStyle w:val="ListParagraph"/>
        <w:numPr>
          <w:ilvl w:val="0"/>
          <w:numId w:val="2"/>
        </w:numPr>
        <w:spacing w:after="60" w:line="230"/>
        <w:jc w:val="both"/>
      </w:pPr>
      <w:r>
        <w:rPr>
          <w:rFonts w:ascii="Calibri" w:cs="Calibri" w:eastAsia="Calibri" w:hAnsi="Calibri"/>
          <w:sz w:val="19"/>
          <w:szCs w:val="19"/>
        </w:rPr>
        <w:t xml:space="preserve">An access score and a set of maps for every subzone in Singapore and every small TPU group in Hong Kong.</w:t>
      </w:r>
    </w:p>
    <w:p>
      <w:pPr>
        <w:pStyle w:val="ListParagraph"/>
        <w:numPr>
          <w:ilvl w:val="0"/>
          <w:numId w:val="2"/>
        </w:numPr>
        <w:spacing w:after="60" w:line="230"/>
        <w:jc w:val="both"/>
      </w:pPr>
      <w:r>
        <w:rPr>
          <w:rFonts w:ascii="Calibri" w:cs="Calibri" w:eastAsia="Calibri" w:hAnsi="Calibri"/>
          <w:sz w:val="19"/>
          <w:szCs w:val="19"/>
        </w:rPr>
        <w:t xml:space="preserve">A figure for how complete OpenStreetMap actually is for clinics and preschools in Singapore, and whether the gaps are spread evenly.</w:t>
      </w:r>
    </w:p>
    <w:p>
      <w:pPr>
        <w:pStyle w:val="ListParagraph"/>
        <w:numPr>
          <w:ilvl w:val="0"/>
          <w:numId w:val="2"/>
        </w:numPr>
        <w:spacing w:after="60" w:line="230"/>
        <w:jc w:val="both"/>
      </w:pPr>
      <w:r>
        <w:rPr>
          <w:rFonts w:ascii="Calibri" w:cs="Calibri" w:eastAsia="Calibri" w:hAnsi="Calibri"/>
          <w:sz w:val="19"/>
          <w:szCs w:val="19"/>
        </w:rPr>
        <w:t xml:space="preserve">A test of whether access is clustered, and whether it is more clustered in one city than the other.</w:t>
      </w:r>
    </w:p>
    <w:p>
      <w:pPr>
        <w:pStyle w:val="ListParagraph"/>
        <w:numPr>
          <w:ilvl w:val="0"/>
          <w:numId w:val="2"/>
        </w:numPr>
        <w:spacing w:after="60" w:line="230"/>
        <w:jc w:val="both"/>
      </w:pPr>
      <w:r>
        <w:rPr>
          <w:rFonts w:ascii="Calibri" w:cs="Calibri" w:eastAsia="Calibri" w:hAnsi="Calibri"/>
          <w:sz w:val="19"/>
          <w:szCs w:val="19"/>
        </w:rPr>
        <w:t xml:space="preserve">A map of neighbourhood types, and a result on whether a model trained on Singapore carries over to Hong Kong.</w:t>
      </w:r>
    </w:p>
    <w:p>
      <w:pPr>
        <w:pStyle w:val="ListParagraph"/>
        <w:numPr>
          <w:ilvl w:val="0"/>
          <w:numId w:val="2"/>
        </w:numPr>
        <w:spacing w:after="60" w:line="230"/>
        <w:jc w:val="both"/>
      </w:pPr>
      <w:r>
        <w:rPr>
          <w:rFonts w:ascii="Calibri" w:cs="Calibri" w:eastAsia="Calibri" w:hAnsi="Calibri"/>
          <w:sz w:val="19"/>
          <w:szCs w:val="19"/>
        </w:rPr>
        <w:t xml:space="preserve">An R Markdown workflow that runs end to end, which is the part we expect to be most useful afterwards.</w:t>
      </w:r>
    </w:p>
    <w:p>
      <w:pPr>
        <w:spacing w:after="90" w:line="230"/>
        <w:jc w:val="both"/>
      </w:pPr>
      <w:r>
        <w:rPr>
          <w:rFonts w:ascii="Calibri" w:cs="Calibri" w:eastAsia="Calibri" w:hAnsi="Calibri"/>
          <w:b/>
          <w:bCs/>
          <w:sz w:val="19"/>
          <w:szCs w:val="19"/>
        </w:rPr>
        <w:t xml:space="preserve">Limitations. </w:t>
      </w:r>
      <w:r>
        <w:rPr>
          <w:rFonts w:ascii="Calibri" w:cs="Calibri" w:eastAsia="Calibri" w:hAnsi="Calibri"/>
          <w:sz w:val="19"/>
          <w:szCs w:val="19"/>
        </w:rPr>
        <w:t xml:space="preserve">Spending share is a rough stand-in for importance. Counting facilities says nothing about their size, quality or opening hours — one clinic counts the same whether it has one doctor or six. Straight-line distance ignores hills, which matters considerably more in Hong Kong than in Singapore. Using subzones means the answer depends partly on how the boundaries happen to be drawn. Housing mix is a coarser measure of income than actual income would be, but it is the one thing both censuses report. And the two censuses are a year apart, so the comparison is close to but not exactly simultaneous.</w:t>
      </w:r>
    </w:p>
    <w:p>
      <w:pPr>
        <w:pStyle w:val="Heading1"/>
        <w:spacing w:after="90" w:before="190"/>
      </w:pPr>
      <w:r>
        <w:rPr>
          <w:rFonts w:ascii="Calibri" w:cs="Calibri" w:eastAsia="Calibri" w:hAnsi="Calibri"/>
          <w:b/>
          <w:bCs/>
          <w:color w:val="1F3864"/>
          <w:sz w:val="23"/>
          <w:szCs w:val="23"/>
        </w:rPr>
        <w:t xml:space="preserve">References</w:t>
      </w:r>
    </w:p>
    <w:p>
      <w:pPr>
        <w:spacing w:after="90" w:line="230"/>
        <w:jc w:val="both"/>
      </w:pPr>
      <w:r>
        <w:rPr>
          <w:rFonts w:ascii="Calibri" w:cs="Calibri" w:eastAsia="Calibri" w:hAnsi="Calibri"/>
          <w:sz w:val="17"/>
          <w:szCs w:val="17"/>
        </w:rPr>
        <w:t xml:space="preserve">Moreno, C. et al. (2021) 'Introducing the 15-Minute City', Smart Cities, 4(1). · Anselin, L. (1995) 'Local Indicators of Spatial Association — LISA', Geographical Analysis, 27(2). · Getis, A. and Ord, J.K. (1992) 'The Analysis of Spatial Association by Use of Distance Statistics', Geographical Analysis, 24(3). · Brunsdon, C. and Comber, L. (2018) An Introduction to R for Spatial Analysis and Mapping, 2nd edn. · Lovelace, R., Nowosad, J. and Muenchow, J. (2019) Geocomputation with R.</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2026-09-14T16:38:35.238Z</dcterms:created>
  <dcterms:modified xsi:type="dcterms:W3CDTF">2026-09-14T16:38:35.239Z</dcterms:modified>
</cp:coreProperties>
</file>

<file path=docProps/custom.xml><?xml version="1.0" encoding="utf-8"?>
<Properties xmlns="http://schemas.openxmlformats.org/officeDocument/2006/custom-properties" xmlns:vt="http://schemas.openxmlformats.org/officeDocument/2006/docPropsVTypes"/>
</file>