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165" w:before="20" w:after="20"/>
        <w:ind w:left="720" w:hanging="360"/>
        <w:jc w:val="center"/>
        <w:rPr>
          <w:sz w:val="32"/>
          <w:szCs w:val="32"/>
        </w:rPr>
      </w:pPr>
      <w:bookmarkStart w:id="0" w:name="_ili2bvwc5mpi"/>
      <w:bookmarkEnd w:id="0"/>
      <w:r>
        <w:rPr>
          <w:rFonts w:eastAsia="Cambria" w:cs="Cambria" w:ascii="Cambria" w:hAnsi="Cambria"/>
          <w:b/>
          <w:color w:val="365F91"/>
          <w:sz w:val="32"/>
          <w:szCs w:val="32"/>
        </w:rPr>
        <w:t>NFT Collection Smart Contract Documentation</w:t>
      </w:r>
    </w:p>
    <w:p>
      <w:pPr>
        <w:pStyle w:val="Heading2"/>
        <w:keepNext w:val="false"/>
        <w:keepLines w:val="false"/>
        <w:spacing w:lineRule="auto" w:line="208" w:before="0" w:after="20"/>
        <w:ind w:left="720" w:hanging="360"/>
        <w:rPr>
          <w:rFonts w:ascii="Cambria" w:hAnsi="Cambria" w:eastAsia="Cambria" w:cs="Cambria"/>
          <w:b/>
          <w:b/>
          <w:color w:val="4F81BD"/>
          <w:sz w:val="26"/>
          <w:szCs w:val="26"/>
        </w:rPr>
      </w:pPr>
      <w:r>
        <w:rPr>
          <w:rFonts w:eastAsia="Cambria" w:cs="Cambria" w:ascii="Cambria" w:hAnsi="Cambria"/>
          <w:b/>
          <w:color w:val="4F81BD"/>
          <w:sz w:val="26"/>
          <w:szCs w:val="26"/>
        </w:rPr>
      </w:r>
      <w:bookmarkStart w:id="1" w:name="_41lpv8tx02rm"/>
      <w:bookmarkStart w:id="2" w:name="_41lpv8tx02rm"/>
      <w:bookmarkEnd w:id="2"/>
    </w:p>
    <w:p>
      <w:pPr>
        <w:pStyle w:val="Heading2"/>
        <w:keepNext w:val="false"/>
        <w:keepLines w:val="false"/>
        <w:spacing w:lineRule="auto" w:line="208" w:before="0" w:after="20"/>
        <w:ind w:left="720" w:hanging="360"/>
        <w:rPr>
          <w:rFonts w:ascii="Cambria" w:hAnsi="Cambria" w:eastAsia="Cambria" w:cs="Cambria"/>
          <w:b/>
          <w:b/>
          <w:color w:val="4F81BD"/>
          <w:sz w:val="26"/>
          <w:szCs w:val="26"/>
        </w:rPr>
      </w:pPr>
      <w:bookmarkStart w:id="3" w:name="_yoy5r4mdi8k3"/>
      <w:bookmarkEnd w:id="3"/>
      <w:r>
        <w:rPr>
          <w:rFonts w:eastAsia="Cambria" w:cs="Cambria" w:ascii="Cambria" w:hAnsi="Cambria"/>
          <w:b/>
          <w:color w:val="4F81BD"/>
          <w:sz w:val="26"/>
          <w:szCs w:val="26"/>
        </w:rPr>
        <w:t>Overview</w:t>
      </w:r>
    </w:p>
    <w:p>
      <w:pPr>
        <w:pStyle w:val="Normal1"/>
        <w:spacing w:lineRule="auto" w:line="276" w:before="220" w:after="120"/>
        <w:rPr>
          <w:rFonts w:ascii="Cambria" w:hAnsi="Cambria" w:eastAsia="Cambria" w:cs="Cambria"/>
        </w:rPr>
      </w:pPr>
      <w:r>
        <w:rPr>
          <w:rFonts w:eastAsia="Cambria" w:cs="Cambria" w:ascii="Cambria" w:hAnsi="Cambria"/>
        </w:rPr>
        <w:t>This document outlines the specifications and functionalities of the NFT Collection smart contract, designed for deploying and managing an ERC-721 compliant non-fungible token (NFT) collection on the Ethereum blockchain.</w:t>
      </w:r>
    </w:p>
    <w:p>
      <w:pPr>
        <w:pStyle w:val="Normal1"/>
        <w:spacing w:lineRule="auto" w:line="276" w:before="220" w:after="120"/>
        <w:rPr>
          <w:rFonts w:ascii="Cambria" w:hAnsi="Cambria" w:eastAsia="Cambria" w:cs="Cambria"/>
        </w:rPr>
      </w:pPr>
      <w:r>
        <w:rPr>
          <w:rFonts w:eastAsia="Cambria" w:cs="Cambria" w:ascii="Cambria" w:hAnsi="Cambria"/>
        </w:rPr>
      </w:r>
    </w:p>
    <w:p>
      <w:pPr>
        <w:pStyle w:val="Heading2"/>
        <w:keepNext w:val="false"/>
        <w:keepLines w:val="false"/>
        <w:spacing w:lineRule="auto" w:line="208" w:before="0" w:after="20"/>
        <w:ind w:left="720" w:hanging="360"/>
        <w:rPr>
          <w:rFonts w:ascii="Cambria" w:hAnsi="Cambria" w:eastAsia="Cambria" w:cs="Cambria"/>
          <w:b/>
          <w:b/>
          <w:color w:val="4F81BD"/>
          <w:sz w:val="26"/>
          <w:szCs w:val="26"/>
        </w:rPr>
      </w:pPr>
      <w:bookmarkStart w:id="4" w:name="_ntii114nxc25"/>
      <w:bookmarkEnd w:id="4"/>
      <w:r>
        <w:rPr>
          <w:rFonts w:eastAsia="Cambria" w:cs="Cambria" w:ascii="Cambria" w:hAnsi="Cambria"/>
          <w:b/>
          <w:color w:val="4F81BD"/>
          <w:sz w:val="26"/>
          <w:szCs w:val="26"/>
        </w:rPr>
        <w:t>Key Features</w:t>
      </w:r>
    </w:p>
    <w:p>
      <w:pPr>
        <w:pStyle w:val="Normal1"/>
        <w:numPr>
          <w:ilvl w:val="0"/>
          <w:numId w:val="2"/>
        </w:numPr>
        <w:spacing w:lineRule="auto" w:line="240" w:before="240" w:afterAutospacing="0" w:after="0"/>
        <w:ind w:left="720" w:hanging="360"/>
        <w:rPr/>
      </w:pPr>
      <w:r>
        <w:rPr>
          <w:rFonts w:eastAsia="Cambria" w:cs="Cambria" w:ascii="Cambria" w:hAnsi="Cambria"/>
          <w:b/>
        </w:rPr>
        <w:t>Bulk Minting - Owner-Only</w:t>
      </w:r>
      <w:r>
        <w:rPr>
          <w:rFonts w:eastAsia="Cambria" w:cs="Cambria" w:ascii="Cambria" w:hAnsi="Cambria"/>
        </w:rPr>
        <w:t>: The contract owner can mint individual or bulk NFTs.</w:t>
      </w:r>
    </w:p>
    <w:p>
      <w:pPr>
        <w:pStyle w:val="Normal1"/>
        <w:numPr>
          <w:ilvl w:val="0"/>
          <w:numId w:val="2"/>
        </w:numPr>
        <w:spacing w:lineRule="auto" w:line="240" w:beforeAutospacing="0" w:before="0" w:afterAutospacing="0" w:after="0"/>
        <w:ind w:left="720" w:hanging="360"/>
        <w:rPr/>
      </w:pPr>
      <w:r>
        <w:rPr>
          <w:rFonts w:eastAsia="Cambria" w:cs="Cambria" w:ascii="Cambria" w:hAnsi="Cambria"/>
          <w:b/>
        </w:rPr>
        <w:t>Public Minting</w:t>
      </w:r>
      <w:r>
        <w:rPr>
          <w:rFonts w:eastAsia="Cambria" w:cs="Cambria" w:ascii="Cambria" w:hAnsi="Cambria"/>
        </w:rPr>
        <w:t>: Enables the general public to mint NFTs, subject to conditions set by the contract owner.</w:t>
      </w:r>
    </w:p>
    <w:p>
      <w:pPr>
        <w:pStyle w:val="Normal1"/>
        <w:numPr>
          <w:ilvl w:val="0"/>
          <w:numId w:val="2"/>
        </w:numPr>
        <w:spacing w:lineRule="auto" w:line="240" w:beforeAutospacing="0" w:before="0" w:afterAutospacing="0" w:after="0"/>
        <w:ind w:left="720" w:hanging="360"/>
        <w:rPr/>
      </w:pPr>
      <w:r>
        <w:rPr>
          <w:rFonts w:eastAsia="Cambria" w:cs="Cambria" w:ascii="Cambria" w:hAnsi="Cambria"/>
          <w:b/>
        </w:rPr>
        <w:t>Whitelist Minting</w:t>
      </w:r>
      <w:r>
        <w:rPr>
          <w:rFonts w:eastAsia="Cambria" w:cs="Cambria" w:ascii="Cambria" w:hAnsi="Cambria"/>
        </w:rPr>
        <w:t>: Allows specific addresses, pre-approved by the contract owner, to mint NFTs under potentially different conditions.</w:t>
      </w:r>
    </w:p>
    <w:p>
      <w:pPr>
        <w:pStyle w:val="Normal1"/>
        <w:numPr>
          <w:ilvl w:val="0"/>
          <w:numId w:val="2"/>
        </w:numPr>
        <w:spacing w:lineRule="auto" w:line="240" w:beforeAutospacing="0" w:before="0" w:after="240"/>
        <w:ind w:left="720" w:hanging="360"/>
        <w:rPr/>
      </w:pPr>
      <w:r>
        <w:rPr>
          <w:rFonts w:eastAsia="Cambria" w:cs="Cambria" w:ascii="Cambria" w:hAnsi="Cambria"/>
          <w:b/>
        </w:rPr>
        <w:t>Burn Functionality</w:t>
      </w:r>
      <w:r>
        <w:rPr>
          <w:rFonts w:eastAsia="Cambria" w:cs="Cambria" w:ascii="Cambria" w:hAnsi="Cambria"/>
        </w:rPr>
        <w:t>: The contract owner can irreversibly destroy (burn) their NFTs if desired.</w:t>
      </w:r>
    </w:p>
    <w:p>
      <w:pPr>
        <w:pStyle w:val="Normal1"/>
        <w:spacing w:lineRule="auto" w:line="240" w:before="240" w:after="240"/>
        <w:ind w:left="720" w:hanging="0"/>
        <w:rPr>
          <w:rFonts w:ascii="Cambria" w:hAnsi="Cambria" w:eastAsia="Cambria" w:cs="Cambria"/>
        </w:rPr>
      </w:pPr>
      <w:r>
        <w:rPr>
          <w:rFonts w:eastAsia="Cambria" w:cs="Cambria" w:ascii="Cambria" w:hAnsi="Cambria"/>
        </w:rPr>
      </w:r>
    </w:p>
    <w:p>
      <w:pPr>
        <w:pStyle w:val="Heading2"/>
        <w:keepNext w:val="false"/>
        <w:keepLines w:val="false"/>
        <w:spacing w:lineRule="auto" w:line="208" w:before="0" w:after="20"/>
        <w:ind w:left="720" w:hanging="360"/>
        <w:rPr>
          <w:rFonts w:ascii="Cambria" w:hAnsi="Cambria" w:eastAsia="Cambria" w:cs="Cambria"/>
          <w:b/>
          <w:b/>
          <w:color w:val="4F81BD"/>
          <w:sz w:val="26"/>
          <w:szCs w:val="26"/>
        </w:rPr>
      </w:pPr>
      <w:bookmarkStart w:id="5" w:name="_ot45702u5t4x"/>
      <w:bookmarkEnd w:id="5"/>
      <w:r>
        <w:rPr>
          <w:rFonts w:eastAsia="Cambria" w:cs="Cambria" w:ascii="Cambria" w:hAnsi="Cambria"/>
          <w:b/>
          <w:color w:val="4F81BD"/>
          <w:sz w:val="26"/>
          <w:szCs w:val="26"/>
        </w:rPr>
        <w:t>Workflow</w:t>
      </w:r>
    </w:p>
    <w:p>
      <w:pPr>
        <w:pStyle w:val="Normal1"/>
        <w:numPr>
          <w:ilvl w:val="0"/>
          <w:numId w:val="1"/>
        </w:numPr>
        <w:spacing w:lineRule="auto" w:line="240" w:before="240" w:afterAutospacing="0" w:after="0"/>
        <w:ind w:left="720" w:hanging="360"/>
        <w:rPr/>
      </w:pPr>
      <w:r>
        <w:rPr>
          <w:rFonts w:eastAsia="Cambria" w:cs="Cambria" w:ascii="Cambria" w:hAnsi="Cambria"/>
          <w:b/>
        </w:rPr>
        <w:t>Deployment</w:t>
      </w:r>
      <w:r>
        <w:rPr>
          <w:rFonts w:eastAsia="Cambria" w:cs="Cambria" w:ascii="Cambria" w:hAnsi="Cambria"/>
        </w:rPr>
        <w:t>:</w:t>
      </w:r>
    </w:p>
    <w:p>
      <w:pPr>
        <w:pStyle w:val="Normal1"/>
        <w:numPr>
          <w:ilvl w:val="1"/>
          <w:numId w:val="1"/>
        </w:numPr>
        <w:spacing w:lineRule="auto" w:line="240" w:beforeAutospacing="0" w:before="0" w:afterAutospacing="0" w:after="0"/>
        <w:ind w:left="1440" w:hanging="360"/>
        <w:rPr>
          <w:rFonts w:ascii="Cambria" w:hAnsi="Cambria" w:eastAsia="Cambria" w:cs="Cambria"/>
        </w:rPr>
      </w:pPr>
      <w:r>
        <w:rPr>
          <w:rFonts w:eastAsia="Cambria" w:cs="Cambria" w:ascii="Cambria" w:hAnsi="Cambria"/>
        </w:rPr>
        <w:t>The contract is deployed to the Ethereum blockchain by the owner, initializing the NFT collection with a specified name and symbol.</w:t>
      </w:r>
    </w:p>
    <w:p>
      <w:pPr>
        <w:pStyle w:val="Normal1"/>
        <w:numPr>
          <w:ilvl w:val="0"/>
          <w:numId w:val="1"/>
        </w:numPr>
        <w:spacing w:lineRule="auto" w:line="240" w:beforeAutospacing="0" w:before="0" w:afterAutospacing="0" w:after="0"/>
        <w:ind w:left="720" w:hanging="360"/>
        <w:rPr/>
      </w:pPr>
      <w:r>
        <w:rPr>
          <w:rFonts w:eastAsia="Cambria" w:cs="Cambria" w:ascii="Cambria" w:hAnsi="Cambria"/>
          <w:b/>
        </w:rPr>
        <w:t>Bulk Minting - Owner-Only</w:t>
      </w:r>
      <w:r>
        <w:rPr>
          <w:rFonts w:eastAsia="Cambria" w:cs="Cambria" w:ascii="Cambria" w:hAnsi="Cambria"/>
        </w:rPr>
        <w:t>:</w:t>
      </w:r>
    </w:p>
    <w:p>
      <w:pPr>
        <w:pStyle w:val="Normal1"/>
        <w:numPr>
          <w:ilvl w:val="1"/>
          <w:numId w:val="1"/>
        </w:numPr>
        <w:spacing w:lineRule="auto" w:line="240" w:beforeAutospacing="0" w:before="0" w:afterAutospacing="0" w:after="0"/>
        <w:ind w:left="1440" w:hanging="360"/>
        <w:rPr/>
      </w:pPr>
      <w:r>
        <w:rPr>
          <w:rFonts w:eastAsia="Cambria" w:cs="Cambria" w:ascii="Cambria" w:hAnsi="Cambria"/>
        </w:rPr>
        <w:t xml:space="preserve">The owner calls the </w:t>
      </w:r>
      <w:r>
        <w:rPr>
          <w:rFonts w:eastAsia="Cambria" w:cs="Cambria" w:ascii="Cambria" w:hAnsi="Cambria"/>
          <w:color w:val="188038"/>
        </w:rPr>
        <w:t>bulkMint</w:t>
      </w:r>
      <w:r>
        <w:rPr>
          <w:rFonts w:eastAsia="Cambria" w:cs="Cambria" w:ascii="Cambria" w:hAnsi="Cambria"/>
        </w:rPr>
        <w:t xml:space="preserve"> function, providing a new NFT Ids.</w:t>
      </w:r>
    </w:p>
    <w:p>
      <w:pPr>
        <w:pStyle w:val="Normal1"/>
        <w:numPr>
          <w:ilvl w:val="1"/>
          <w:numId w:val="1"/>
        </w:numPr>
        <w:spacing w:lineRule="auto" w:line="240" w:beforeAutospacing="0" w:before="0" w:afterAutospacing="0" w:after="0"/>
        <w:ind w:left="1440" w:hanging="360"/>
        <w:rPr>
          <w:rFonts w:ascii="Cambria" w:hAnsi="Cambria" w:eastAsia="Cambria" w:cs="Cambria"/>
        </w:rPr>
      </w:pPr>
      <w:r>
        <w:rPr>
          <w:rFonts w:eastAsia="Cambria" w:cs="Cambria" w:ascii="Cambria" w:hAnsi="Cambria"/>
        </w:rPr>
        <w:t>The contract mints the NFT and assigns ownership to the owner.</w:t>
      </w:r>
    </w:p>
    <w:p>
      <w:pPr>
        <w:pStyle w:val="Normal1"/>
        <w:numPr>
          <w:ilvl w:val="0"/>
          <w:numId w:val="1"/>
        </w:numPr>
        <w:spacing w:lineRule="auto" w:line="240" w:beforeAutospacing="0" w:before="0" w:afterAutospacing="0" w:after="0"/>
        <w:ind w:left="720" w:hanging="360"/>
        <w:rPr/>
      </w:pPr>
      <w:r>
        <w:rPr>
          <w:rFonts w:eastAsia="Cambria" w:cs="Cambria" w:ascii="Cambria" w:hAnsi="Cambria"/>
          <w:b/>
        </w:rPr>
        <w:t>Public Minting</w:t>
      </w:r>
      <w:r>
        <w:rPr>
          <w:rFonts w:eastAsia="Cambria" w:cs="Cambria" w:ascii="Cambria" w:hAnsi="Cambria"/>
        </w:rPr>
        <w:t>:</w:t>
      </w:r>
    </w:p>
    <w:p>
      <w:pPr>
        <w:pStyle w:val="Normal1"/>
        <w:numPr>
          <w:ilvl w:val="1"/>
          <w:numId w:val="1"/>
        </w:numPr>
        <w:spacing w:lineRule="auto" w:line="240" w:beforeAutospacing="0" w:before="0" w:afterAutospacing="0" w:after="0"/>
        <w:ind w:left="1440" w:hanging="360"/>
        <w:rPr/>
      </w:pPr>
      <w:r>
        <w:rPr>
          <w:rFonts w:eastAsia="Cambria" w:cs="Cambria" w:ascii="Cambria" w:hAnsi="Cambria"/>
        </w:rPr>
        <w:t xml:space="preserve">The owner enables public minting by setting the </w:t>
      </w:r>
      <w:r>
        <w:rPr>
          <w:rFonts w:eastAsia="Cambria" w:cs="Cambria" w:ascii="Cambria" w:hAnsi="Cambria"/>
          <w:color w:val="188038"/>
        </w:rPr>
        <w:t>publicMintEnabled</w:t>
      </w:r>
      <w:r>
        <w:rPr>
          <w:rFonts w:eastAsia="Cambria" w:cs="Cambria" w:ascii="Cambria" w:hAnsi="Cambria"/>
        </w:rPr>
        <w:t xml:space="preserve"> flag to </w:t>
      </w:r>
      <w:r>
        <w:rPr>
          <w:rFonts w:eastAsia="Cambria" w:cs="Cambria" w:ascii="Cambria" w:hAnsi="Cambria"/>
          <w:color w:val="188038"/>
        </w:rPr>
        <w:t>true</w:t>
      </w:r>
      <w:r>
        <w:rPr>
          <w:rFonts w:eastAsia="Cambria" w:cs="Cambria" w:ascii="Cambria" w:hAnsi="Cambria"/>
        </w:rPr>
        <w:t>.</w:t>
      </w:r>
    </w:p>
    <w:p>
      <w:pPr>
        <w:pStyle w:val="Normal1"/>
        <w:numPr>
          <w:ilvl w:val="1"/>
          <w:numId w:val="1"/>
        </w:numPr>
        <w:spacing w:lineRule="auto" w:line="240" w:beforeAutospacing="0" w:before="0" w:afterAutospacing="0" w:after="0"/>
        <w:ind w:left="1440" w:hanging="360"/>
        <w:rPr/>
      </w:pPr>
      <w:r>
        <w:rPr>
          <w:rFonts w:eastAsia="Cambria" w:cs="Cambria" w:ascii="Cambria" w:hAnsi="Cambria"/>
        </w:rPr>
        <w:t xml:space="preserve">Users send a transaction with the required ETH to the </w:t>
      </w:r>
      <w:r>
        <w:rPr>
          <w:rFonts w:eastAsia="Cambria" w:cs="Cambria" w:ascii="Cambria" w:hAnsi="Cambria"/>
          <w:color w:val="188038"/>
        </w:rPr>
        <w:t>publicMint</w:t>
      </w:r>
      <w:r>
        <w:rPr>
          <w:rFonts w:eastAsia="Cambria" w:cs="Cambria" w:ascii="Cambria" w:hAnsi="Cambria"/>
        </w:rPr>
        <w:t xml:space="preserve"> function.</w:t>
      </w:r>
    </w:p>
    <w:p>
      <w:pPr>
        <w:pStyle w:val="Normal1"/>
        <w:numPr>
          <w:ilvl w:val="1"/>
          <w:numId w:val="1"/>
        </w:numPr>
        <w:spacing w:lineRule="auto" w:line="240" w:beforeAutospacing="0" w:before="0" w:afterAutospacing="0" w:after="0"/>
        <w:ind w:left="1440" w:hanging="360"/>
        <w:rPr>
          <w:rFonts w:ascii="Cambria" w:hAnsi="Cambria" w:eastAsia="Cambria" w:cs="Cambria"/>
        </w:rPr>
      </w:pPr>
      <w:r>
        <w:rPr>
          <w:rFonts w:eastAsia="Cambria" w:cs="Cambria" w:ascii="Cambria" w:hAnsi="Cambria"/>
        </w:rPr>
        <w:t>The contract mints the NFT and assigns ownership to the sender.</w:t>
      </w:r>
    </w:p>
    <w:p>
      <w:pPr>
        <w:pStyle w:val="Normal1"/>
        <w:numPr>
          <w:ilvl w:val="0"/>
          <w:numId w:val="1"/>
        </w:numPr>
        <w:spacing w:lineRule="auto" w:line="240" w:beforeAutospacing="0" w:before="0" w:afterAutospacing="0" w:after="0"/>
        <w:ind w:left="720" w:hanging="360"/>
        <w:rPr/>
      </w:pPr>
      <w:r>
        <w:rPr>
          <w:rFonts w:eastAsia="Cambria" w:cs="Cambria" w:ascii="Cambria" w:hAnsi="Cambria"/>
          <w:b/>
        </w:rPr>
        <w:t>Whitelist Minting</w:t>
      </w:r>
      <w:r>
        <w:rPr>
          <w:rFonts w:eastAsia="Cambria" w:cs="Cambria" w:ascii="Cambria" w:hAnsi="Cambria"/>
        </w:rPr>
        <w:t>:</w:t>
      </w:r>
    </w:p>
    <w:p>
      <w:pPr>
        <w:pStyle w:val="Normal1"/>
        <w:numPr>
          <w:ilvl w:val="1"/>
          <w:numId w:val="1"/>
        </w:numPr>
        <w:spacing w:lineRule="auto" w:line="240" w:beforeAutospacing="0" w:before="0" w:afterAutospacing="0" w:after="0"/>
        <w:ind w:left="1440" w:hanging="360"/>
        <w:rPr/>
      </w:pPr>
      <w:r>
        <w:rPr>
          <w:rFonts w:eastAsia="Cambria" w:cs="Cambria" w:ascii="Cambria" w:hAnsi="Cambria"/>
        </w:rPr>
        <w:t xml:space="preserve">The owner enables whitelist minting by setting the </w:t>
      </w:r>
      <w:r>
        <w:rPr>
          <w:rFonts w:eastAsia="Cambria" w:cs="Cambria" w:ascii="Cambria" w:hAnsi="Cambria"/>
          <w:color w:val="188038"/>
        </w:rPr>
        <w:t>whitelistMintEnabled</w:t>
      </w:r>
      <w:r>
        <w:rPr>
          <w:rFonts w:eastAsia="Cambria" w:cs="Cambria" w:ascii="Cambria" w:hAnsi="Cambria"/>
        </w:rPr>
        <w:t xml:space="preserve"> flag to </w:t>
      </w:r>
      <w:r>
        <w:rPr>
          <w:rFonts w:eastAsia="Cambria" w:cs="Cambria" w:ascii="Cambria" w:hAnsi="Cambria"/>
          <w:color w:val="188038"/>
        </w:rPr>
        <w:t>true</w:t>
      </w:r>
      <w:r>
        <w:rPr>
          <w:rFonts w:eastAsia="Cambria" w:cs="Cambria" w:ascii="Cambria" w:hAnsi="Cambria"/>
        </w:rPr>
        <w:t>.</w:t>
      </w:r>
    </w:p>
    <w:p>
      <w:pPr>
        <w:pStyle w:val="Normal1"/>
        <w:numPr>
          <w:ilvl w:val="1"/>
          <w:numId w:val="1"/>
        </w:numPr>
        <w:spacing w:lineRule="auto" w:line="240" w:beforeAutospacing="0" w:before="0" w:afterAutospacing="0" w:after="0"/>
        <w:ind w:left="1440" w:hanging="360"/>
        <w:rPr/>
      </w:pPr>
      <w:r>
        <w:rPr>
          <w:rFonts w:eastAsia="Cambria" w:cs="Cambria" w:ascii="Cambria" w:hAnsi="Cambria"/>
        </w:rPr>
        <w:t xml:space="preserve">Whitelisted users send a transaction with the required Coin and a required white listed wallet  to the </w:t>
      </w:r>
      <w:r>
        <w:rPr>
          <w:rFonts w:eastAsia="Cambria" w:cs="Cambria" w:ascii="Cambria" w:hAnsi="Cambria"/>
          <w:color w:val="188038"/>
        </w:rPr>
        <w:t>whitelistMint</w:t>
      </w:r>
      <w:r>
        <w:rPr>
          <w:rFonts w:eastAsia="Cambria" w:cs="Cambria" w:ascii="Cambria" w:hAnsi="Cambria"/>
        </w:rPr>
        <w:t xml:space="preserve"> function.</w:t>
      </w:r>
    </w:p>
    <w:p>
      <w:pPr>
        <w:pStyle w:val="Normal1"/>
        <w:numPr>
          <w:ilvl w:val="1"/>
          <w:numId w:val="1"/>
        </w:numPr>
        <w:spacing w:lineRule="auto" w:line="240" w:beforeAutospacing="0" w:before="0" w:afterAutospacing="0" w:after="0"/>
        <w:ind w:left="1440" w:hanging="360"/>
        <w:rPr>
          <w:rFonts w:ascii="Cambria" w:hAnsi="Cambria" w:eastAsia="Cambria" w:cs="Cambria"/>
        </w:rPr>
      </w:pPr>
      <w:r>
        <w:rPr>
          <w:rFonts w:eastAsia="Cambria" w:cs="Cambria" w:ascii="Cambria" w:hAnsi="Cambria"/>
        </w:rPr>
        <w:t>The contract verifies the proof, mints the NFT, and assigns ownership to the sender.</w:t>
      </w:r>
    </w:p>
    <w:p>
      <w:pPr>
        <w:pStyle w:val="Normal1"/>
        <w:numPr>
          <w:ilvl w:val="0"/>
          <w:numId w:val="1"/>
        </w:numPr>
        <w:spacing w:lineRule="auto" w:line="240" w:beforeAutospacing="0" w:before="0" w:afterAutospacing="0" w:after="0"/>
        <w:ind w:left="720" w:hanging="360"/>
        <w:rPr/>
      </w:pPr>
      <w:r>
        <w:rPr>
          <w:rFonts w:eastAsia="Cambria" w:cs="Cambria" w:ascii="Cambria" w:hAnsi="Cambria"/>
          <w:b/>
        </w:rPr>
        <w:t>Burning NFTs</w:t>
      </w:r>
      <w:r>
        <w:rPr>
          <w:rFonts w:eastAsia="Cambria" w:cs="Cambria" w:ascii="Cambria" w:hAnsi="Cambria"/>
        </w:rPr>
        <w:t>:</w:t>
      </w:r>
    </w:p>
    <w:p>
      <w:pPr>
        <w:pStyle w:val="Normal1"/>
        <w:numPr>
          <w:ilvl w:val="1"/>
          <w:numId w:val="1"/>
        </w:numPr>
        <w:spacing w:lineRule="auto" w:line="240" w:beforeAutospacing="0" w:before="0" w:afterAutospacing="0" w:after="0"/>
        <w:ind w:left="1440" w:hanging="360"/>
        <w:rPr/>
      </w:pPr>
      <w:r>
        <w:rPr>
          <w:rFonts w:eastAsia="Cambria" w:cs="Cambria" w:ascii="Cambria" w:hAnsi="Cambria"/>
        </w:rPr>
        <w:t xml:space="preserve">The contract owner calls the </w:t>
      </w:r>
      <w:r>
        <w:rPr>
          <w:rFonts w:eastAsia="Cambria" w:cs="Cambria" w:ascii="Cambria" w:hAnsi="Cambria"/>
          <w:color w:val="188038"/>
        </w:rPr>
        <w:t>burn</w:t>
      </w:r>
      <w:r>
        <w:rPr>
          <w:rFonts w:eastAsia="Cambria" w:cs="Cambria" w:ascii="Cambria" w:hAnsi="Cambria"/>
        </w:rPr>
        <w:t xml:space="preserve"> function with the token ID of the NFT they wish to destroy.</w:t>
      </w:r>
    </w:p>
    <w:p>
      <w:pPr>
        <w:pStyle w:val="Normal1"/>
        <w:numPr>
          <w:ilvl w:val="1"/>
          <w:numId w:val="1"/>
        </w:numPr>
        <w:spacing w:lineRule="auto" w:line="240" w:beforeAutospacing="0" w:before="0" w:after="240"/>
        <w:ind w:left="1440" w:hanging="360"/>
        <w:rPr>
          <w:rFonts w:ascii="Cambria" w:hAnsi="Cambria" w:eastAsia="Cambria" w:cs="Cambria"/>
        </w:rPr>
      </w:pPr>
      <w:r>
        <w:rPr>
          <w:rFonts w:eastAsia="Cambria" w:cs="Cambria" w:ascii="Cambria" w:hAnsi="Cambria"/>
        </w:rPr>
        <w:t>The contract verifies ownership and burns the NFT, removing it from circulation.</w:t>
      </w:r>
    </w:p>
    <w:p>
      <w:pPr>
        <w:pStyle w:val="Heading2"/>
        <w:keepNext w:val="false"/>
        <w:keepLines w:val="false"/>
        <w:spacing w:lineRule="auto" w:line="208" w:before="0" w:after="20"/>
        <w:ind w:left="720" w:hanging="360"/>
        <w:rPr>
          <w:rFonts w:ascii="Cambria" w:hAnsi="Cambria" w:eastAsia="Cambria" w:cs="Cambria"/>
          <w:b/>
          <w:b/>
          <w:color w:val="4F81BD"/>
          <w:sz w:val="26"/>
          <w:szCs w:val="26"/>
        </w:rPr>
      </w:pPr>
      <w:r>
        <w:rPr>
          <w:rFonts w:eastAsia="Cambria" w:cs="Cambria" w:ascii="Cambria" w:hAnsi="Cambria"/>
          <w:b/>
          <w:color w:val="4F81BD"/>
          <w:sz w:val="26"/>
          <w:szCs w:val="26"/>
        </w:rPr>
      </w:r>
      <w:bookmarkStart w:id="6" w:name="_j93w67et5yvi"/>
      <w:bookmarkStart w:id="7" w:name="_j93w67et5yvi"/>
      <w:bookmarkEnd w:id="7"/>
    </w:p>
    <w:p>
      <w:pPr>
        <w:pStyle w:val="Normal1"/>
        <w:rPr/>
      </w:pPr>
      <w:r>
        <w:rPr/>
      </w:r>
    </w:p>
    <w:p>
      <w:pPr>
        <w:pStyle w:val="Normal1"/>
        <w:rPr/>
      </w:pPr>
      <w:r>
        <w:rPr/>
      </w:r>
    </w:p>
    <w:p>
      <w:pPr>
        <w:pStyle w:val="Heading2"/>
        <w:keepNext w:val="false"/>
        <w:keepLines w:val="false"/>
        <w:spacing w:lineRule="auto" w:line="208" w:before="0" w:after="20"/>
        <w:ind w:left="720" w:hanging="360"/>
        <w:rPr>
          <w:rFonts w:ascii="Cambria" w:hAnsi="Cambria" w:eastAsia="Cambria" w:cs="Cambria"/>
          <w:b/>
          <w:b/>
          <w:color w:val="4F81BD"/>
          <w:sz w:val="26"/>
          <w:szCs w:val="26"/>
        </w:rPr>
      </w:pPr>
      <w:r>
        <w:rPr>
          <w:rFonts w:eastAsia="Cambria" w:cs="Cambria" w:ascii="Cambria" w:hAnsi="Cambria"/>
          <w:b/>
          <w:color w:val="4F81BD"/>
          <w:sz w:val="26"/>
          <w:szCs w:val="26"/>
        </w:rPr>
      </w:r>
      <w:bookmarkStart w:id="8" w:name="_m4h3svmzwl71"/>
      <w:bookmarkStart w:id="9" w:name="_m4h3svmzwl71"/>
      <w:bookmarkEnd w:id="9"/>
    </w:p>
    <w:p>
      <w:pPr>
        <w:pStyle w:val="Heading2"/>
        <w:keepNext w:val="false"/>
        <w:keepLines w:val="false"/>
        <w:spacing w:lineRule="auto" w:line="208" w:before="0" w:after="20"/>
        <w:ind w:left="720" w:hanging="360"/>
        <w:rPr>
          <w:rFonts w:ascii="Cambria" w:hAnsi="Cambria" w:eastAsia="Cambria" w:cs="Cambria"/>
          <w:b/>
          <w:b/>
          <w:color w:val="4F81BD"/>
          <w:sz w:val="26"/>
          <w:szCs w:val="26"/>
        </w:rPr>
      </w:pPr>
      <w:bookmarkStart w:id="10" w:name="_nx31v4ha62nk"/>
      <w:bookmarkEnd w:id="10"/>
      <w:r>
        <w:rPr>
          <w:rFonts w:eastAsia="Cambria" w:cs="Cambria" w:ascii="Cambria" w:hAnsi="Cambria"/>
          <w:b/>
          <w:color w:val="4F81BD"/>
          <w:sz w:val="26"/>
          <w:szCs w:val="26"/>
        </w:rPr>
        <w:t>Explanation</w:t>
      </w:r>
    </w:p>
    <w:p>
      <w:pPr>
        <w:pStyle w:val="Normal1"/>
        <w:spacing w:lineRule="auto" w:line="276" w:before="220" w:after="120"/>
        <w:rPr>
          <w:rFonts w:ascii="Cambria" w:hAnsi="Cambria" w:eastAsia="Cambria" w:cs="Cambria"/>
        </w:rPr>
      </w:pPr>
      <w:r>
        <w:rPr>
          <w:rFonts w:eastAsia="Cambria" w:cs="Cambria" w:ascii="Cambria" w:hAnsi="Cambria"/>
        </w:rPr>
        <w:t>This smart contract allows for the creation and management of a unique NFT collection on the Ethereum blockchain. As the contract owner, you have the ability to mint bulk or individual NFTs, ensuring each token is distinct and verifiable. You can also open minting to the public or restrict it to a select group of addresses (whitelist), offering flexibility in how your NFTs are distributed. Additionally, the contract includes a burn function, allowing token holders to permanently remove their NFTs from circulation if they choose. This design ensures a secure, transparent, and user-friendly experience for both the creator and collectors.</w:t>
      </w:r>
    </w:p>
    <w:p>
      <w:pPr>
        <w:pStyle w:val="Normal1"/>
        <w:spacing w:lineRule="auto" w:line="276" w:before="220" w:after="200"/>
        <w:rPr>
          <w:rFonts w:ascii="Cambria" w:hAnsi="Cambria" w:eastAsia="Cambria" w:cs="Cambria"/>
          <w:color w:val="17365D"/>
          <w:sz w:val="36"/>
          <w:szCs w:val="36"/>
        </w:rPr>
      </w:pPr>
      <w:r>
        <w:rPr>
          <w:rFonts w:eastAsia="Cambria" w:cs="Cambria" w:ascii="Cambria" w:hAnsi="Cambria"/>
          <w:color w:val="17365D"/>
          <w:sz w:val="36"/>
          <w:szCs w:val="36"/>
        </w:rPr>
      </w:r>
    </w:p>
    <w:p>
      <w:pPr>
        <w:pStyle w:val="Heading1"/>
        <w:keepNext w:val="false"/>
        <w:keepLines w:val="false"/>
        <w:spacing w:lineRule="auto" w:line="165" w:before="20" w:after="0"/>
        <w:rPr>
          <w:rFonts w:ascii="Times New Roman" w:hAnsi="Times New Roman" w:eastAsia="Times New Roman" w:cs="Times New Roman"/>
          <w:b/>
          <w:b/>
          <w:color w:val="365F91"/>
          <w:sz w:val="28"/>
          <w:szCs w:val="28"/>
        </w:rPr>
      </w:pPr>
      <w:bookmarkStart w:id="11" w:name="_o7ednla2nd9z"/>
      <w:bookmarkEnd w:id="11"/>
      <w:r>
        <w:rPr>
          <w:rFonts w:eastAsia="Arial Unicode MS" w:cs="Arial Unicode MS" w:ascii="Arial Unicode MS" w:hAnsi="Arial Unicode MS"/>
          <w:b/>
          <w:color w:val="365F91"/>
          <w:sz w:val="28"/>
          <w:szCs w:val="28"/>
        </w:rPr>
        <w:t xml:space="preserve">➕ </w:t>
      </w:r>
      <w:r>
        <w:rPr>
          <w:rFonts w:eastAsia="Arial Unicode MS" w:cs="Arial Unicode MS" w:ascii="Arial Unicode MS" w:hAnsi="Arial Unicode MS"/>
          <w:b/>
          <w:color w:val="365F91"/>
          <w:sz w:val="28"/>
          <w:szCs w:val="28"/>
        </w:rPr>
        <w:t>Additional Features Suggestions</w:t>
      </w:r>
    </w:p>
    <w:p>
      <w:pPr>
        <w:pStyle w:val="Normal1"/>
        <w:numPr>
          <w:ilvl w:val="0"/>
          <w:numId w:val="3"/>
        </w:numPr>
        <w:spacing w:lineRule="auto" w:line="240" w:before="240" w:afterAutospacing="0" w:after="0"/>
        <w:ind w:left="720" w:hanging="360"/>
        <w:rPr>
          <w:rFonts w:ascii="Cambria" w:hAnsi="Cambria" w:eastAsia="Cambria" w:cs="Cambria"/>
        </w:rPr>
      </w:pPr>
      <w:r>
        <w:rPr>
          <w:rFonts w:eastAsia="Cambria" w:cs="Cambria" w:ascii="Cambria" w:hAnsi="Cambria"/>
        </w:rPr>
        <w:t>Mint Limits: Per wallet / per transaction limits to avoid abuse.</w:t>
      </w:r>
    </w:p>
    <w:p>
      <w:pPr>
        <w:pStyle w:val="Normal1"/>
        <w:numPr>
          <w:ilvl w:val="0"/>
          <w:numId w:val="3"/>
        </w:numPr>
        <w:spacing w:lineRule="auto" w:line="240" w:beforeAutospacing="0" w:before="0" w:afterAutospacing="0" w:after="0"/>
        <w:ind w:left="720" w:hanging="360"/>
        <w:rPr>
          <w:rFonts w:ascii="Cambria" w:hAnsi="Cambria" w:eastAsia="Cambria" w:cs="Cambria"/>
        </w:rPr>
      </w:pPr>
      <w:r>
        <w:rPr>
          <w:rFonts w:eastAsia="Cambria" w:cs="Cambria" w:ascii="Cambria" w:hAnsi="Cambria"/>
        </w:rPr>
        <w:t>Pause/Unpause: Add emergency pause control via Pausable from OpenZeppelin.</w:t>
      </w:r>
    </w:p>
    <w:p>
      <w:pPr>
        <w:pStyle w:val="Normal1"/>
        <w:numPr>
          <w:ilvl w:val="0"/>
          <w:numId w:val="3"/>
        </w:numPr>
        <w:spacing w:lineRule="auto" w:line="240" w:beforeAutospacing="0" w:before="0" w:after="240"/>
        <w:ind w:left="720" w:hanging="360"/>
        <w:rPr>
          <w:rFonts w:ascii="Cambria" w:hAnsi="Cambria" w:eastAsia="Cambria" w:cs="Cambria"/>
        </w:rPr>
      </w:pPr>
      <w:r>
        <w:rPr>
          <w:rFonts w:eastAsia="Cambria" w:cs="Cambria" w:ascii="Cambria" w:hAnsi="Cambria"/>
        </w:rPr>
        <w:t>Events: Emit events for minting, burning, and whitelist updates.</w:t>
      </w:r>
    </w:p>
    <w:p>
      <w:pPr>
        <w:pStyle w:val="Normal1"/>
        <w:rPr>
          <w:rFonts w:ascii="Cambria" w:hAnsi="Cambria" w:eastAsia="Cambria" w:cs="Cambria"/>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Arial Unicode MS">
    <w:charset w:val="01"/>
    <w:family w:val="roman"/>
    <w:pitch w:val="variable"/>
  </w:font>
  <w:font w:name="Times New Roman">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432</Words>
  <Characters>2347</Characters>
  <CharactersWithSpaces>2724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2025-04-12T17:09:04Z</dcterms:modified>
  <cp:revision>4</cp:revision>
  <dc:subject/>
  <dc:title/>
</cp:coreProperties>
</file>