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Credit Card Defaults Using Machine Learning Techniques</w:t>
      </w:r>
    </w:p>
    <w:p>
      <w:pPr>
        <w:jc w:val="center"/>
      </w:pPr>
      <w:r>
        <w:rPr>
          <w:sz w:val="24"/>
        </w:rPr>
        <w:t>BFOR 516 – Advanced Data Analytics for Cyber  |  Group 3  |  Final Report</w:t>
      </w:r>
    </w:p>
    <w:p>
      <w:pPr>
        <w:jc w:val="center"/>
      </w:pPr>
      <w:r>
        <w:rPr>
          <w:sz w:val="22"/>
        </w:rPr>
        <w:t>Spencer Kone  |  Muhammad H. Bahar  |  Leela Pavan Kumar Kunapureddy  |  Shalem Raju Maddirala</w:t>
      </w:r>
    </w:p>
    <w:p>
      <w:pPr>
        <w:jc w:val="center"/>
      </w:pPr>
      <w:r>
        <w:rPr>
          <w:sz w:val="22"/>
        </w:rPr>
        <w:t>University at Albany – SUNY  |  May 2026</w:t>
      </w:r>
    </w:p>
    <w:p>
      <w:r>
        <w:br w:type="page"/>
      </w:r>
    </w:p>
    <w:p>
      <w:pPr>
        <w:pStyle w:val="Heading1"/>
      </w:pPr>
      <w:r>
        <w:t>1. Project Description and Objectives</w:t>
      </w:r>
    </w:p>
    <w:p>
      <w:r>
        <w:t>The goal of this project is to predict whether a Taiwan credit card client will default on their payment in the following month using historical demographic, credit utilization, and payment behavior data. This is a supervised binary classification problem: given 23 features observed from April through September 2005, the model must assign each of the 30,000 clients a label of default (1) or no default (0).</w:t>
      </w:r>
    </w:p>
    <w:p>
      <w:pPr>
        <w:pStyle w:val="Heading2"/>
      </w:pPr>
      <w:r>
        <w:t>1a. Objective Evolution</w:t>
      </w:r>
    </w:p>
    <w:p>
      <w:r>
        <w:t>In Milestone 1 we selected the Decision Tree as our primary model because Gini-based feature importance aligned with our interest in understanding which payment behaviors drive default risk. By Milestone 2 we had confirmed that PAY_0 (the most recent payment status) explains approximately 74.6% of Decision Tree splits. This sharpened our focus: rather than maximizing raw accuracy, we prioritized Recall and F1-Score for the default class, because a bank incurs a much higher cost from a missed default (false negative) than from declining a good customer (false positive). Our objective remained the same throughout, but the analytical lens became clearer as we progressed.</w:t>
      </w:r>
    </w:p>
    <w:p>
      <w:pPr>
        <w:pStyle w:val="Heading2"/>
      </w:pPr>
      <w:r>
        <w:t>1b. Dataset</w:t>
      </w:r>
    </w:p>
    <w:p>
      <w:r>
        <w:t>Dataset: Default of Credit Card Clients (UCI ML Repository, Dataset ID 350). Source: Yeh &amp; Lien (2009). The dataset contains 30,000 records of credit card holders from a Taiwanese bank, observed between April and September 2005. Each record has 23 features: credit limit (LIMIT_BAL), demographics (SEX, EDUCATION, MARRIAGE, AGE), six months of repayment status (PAY_0, PAY_2 through PAY_6), six months of bill amounts (BILL_AMT1-6), and six months of payment amounts (PAY_AMT1-6). The target variable is binary: default payment next month.</w:t>
      </w:r>
    </w:p>
    <w:p>
      <w:r>
        <w:t>We selected this dataset because it is publicly available and thoroughly documented, the credit risk domain is directly relevant to cybersecurity (financial fraud detection), the 30k-row size fits comfortably in a local environment, and the class imbalance (22.12% default rate) presents a realistic applied ML challenge.</w:t>
      </w:r>
    </w:p>
    <w:p>
      <w:pPr>
        <w:pStyle w:val="Heading2"/>
      </w:pPr>
      <w:r>
        <w:t>1c. Models and Comparison Rationale</w:t>
      </w:r>
    </w:p>
    <w:p>
      <w:r>
        <w:t>We trained and compared three classifiers:</w:t>
        <w:br/>
        <w:br/>
        <w:t>1. Logistic Regression - interpretable linear baseline, widely used in credit scoring. Coefficients map directly to feature-level risk estimates.</w:t>
        <w:br/>
        <w:br/>
        <w:t>2. Gaussian Naive Bayes - probabilistic benchmark. Assumes feature independence, which is violated here due to high inter-correlations among payment variables, but provides a useful contrast and lower-bound reference.</w:t>
        <w:br/>
        <w:br/>
        <w:t>3. Decision Tree Classifier - non-linear, rule-based model with built-in Gini feature importance. Selected as our primary model for interpretability and non-linear expressivity.</w:t>
        <w:br/>
        <w:br/>
        <w:t>All three were evaluated on the same held-out test set plus 5-fold stratified cross-validation to ensure a fair, reproducible comparison.</w:t>
      </w:r>
    </w:p>
    <w:p>
      <w:r>
        <w:br w:type="page"/>
      </w:r>
    </w:p>
    <w:p>
      <w:pPr>
        <w:pStyle w:val="Heading1"/>
      </w:pPr>
      <w:r>
        <w:t>2. Dataset Preparation</w:t>
      </w:r>
    </w:p>
    <w:p>
      <w:pPr>
        <w:pStyle w:val="Heading2"/>
      </w:pPr>
      <w:r>
        <w:t>2a. Initial Inspection</w:t>
      </w:r>
    </w:p>
    <w:p>
      <w:r>
        <w:t>After loading the dataset we confirmed: 30,000 rows x 24 columns (all int64), zero missing values, and 35 duplicate rows. The duplicates were retained because they represent distinct clients who happen to share identical feature values rather than true recording errors. The default rate was confirmed at 22.12% (6,636 defaults vs. 23,364 non-defaults), producing a 3.5:1 class imbalance.</w:t>
      </w:r>
    </w:p>
    <w:p>
      <w:r>
        <w:t>Two categorical features contained undocumented values:</w:t>
        <w:br/>
        <w:t>- EDUCATION: values 0, 5, and 6 are not defined in Yeh &amp; Lien (2009), which specifies only 1=Graduate, 2=University, 3=High School, 4=Others. A total of 345 rows were affected.</w:t>
        <w:br/>
        <w:t>- MARRIAGE: value 0 is undocumented; documentation defines 1=Married, 2=Single, 3=Others. Fifty-four rows were affected.</w:t>
      </w:r>
    </w:p>
    <w:p>
      <w:pPr>
        <w:pStyle w:val="Heading2"/>
      </w:pPr>
      <w:r>
        <w:t>2b. Data Cleaning</w:t>
      </w:r>
    </w:p>
    <w:p>
      <w:r>
        <w:t>Both anomalies were resolved by remapping undocumented codes to the existing Others category:</w:t>
      </w:r>
    </w:p>
    <w:p>
      <w:r>
        <w:rPr>
          <w:rFonts w:ascii="Courier New" w:hAnsi="Courier New"/>
          <w:sz w:val="18"/>
        </w:rPr>
        <w:t>df['EDUCATION'] = df['EDUCATION'].replace({0: 4, 5: 4, 6: 4})</w:t>
        <w:br/>
        <w:t>df['MARRIAGE']  = df['MARRIAGE'].replace({0: 3})</w:t>
      </w:r>
    </w:p>
    <w:p>
      <w:r>
        <w:t>This affected 399 rows in total (1.3% of the dataset). Since the documentation provides no alternative interpretation for these codes and the proportion is small, recoding to Others is the most defensible choice and consistent with how Yeh &amp; Lien (2009) handled ambiguous categorical codes.</w:t>
      </w:r>
    </w:p>
    <w:p>
      <w:pPr>
        <w:pStyle w:val="Heading2"/>
      </w:pPr>
      <w:r>
        <w:t>2c. Feature Engineering and Preprocessing</w:t>
      </w:r>
    </w:p>
    <w:p>
      <w:r>
        <w:t>We separated the 23 features (X) from the binary target (y) and applied a stratified 80/20 train-test split (random_state=42). Stratification ensures the 22.12% default rate is preserved in both partitions.</w:t>
      </w:r>
    </w:p>
    <w:p>
      <w:r>
        <w:rPr>
          <w:rFonts w:ascii="Courier New" w:hAnsi="Courier New"/>
          <w:sz w:val="18"/>
        </w:rPr>
        <w:t>X_train, X_test, y_train, y_test = train_test_split(</w:t>
        <w:br/>
        <w:t xml:space="preserve">    X, y, test_size=0.2, random_state=42, stratify=y</w:t>
        <w:br/>
        <w:t>)</w:t>
        <w:br/>
        <w:t># Train: 24,000 | Test: 6,000 | Both at 22.12% default rate</w:t>
      </w:r>
    </w:p>
    <w:p>
      <w:r>
        <w:t>Numerical scaling was applied using StandardScaler fitted exclusively on the training set, then applied to both sets to prevent data leakage:</w:t>
      </w:r>
    </w:p>
    <w:p>
      <w:r>
        <w:rPr>
          <w:rFonts w:ascii="Courier New" w:hAnsi="Courier New"/>
          <w:sz w:val="18"/>
        </w:rPr>
        <w:t>scaler = StandardScaler()</w:t>
        <w:br/>
        <w:t>X_train_scaled = scaler.fit_transform(X_train)</w:t>
        <w:br/>
        <w:t>X_test_scaled  = scaler.transform(X_test)  # transform only - no leakage</w:t>
      </w:r>
    </w:p>
    <w:p>
      <w:r>
        <w:t>Categorical features (SEX, EDUCATION, MARRIAGE) were retained as ordinal integers. The Decision Tree uses raw unscaled features because tree splits are scale-invariant. Logistic Regression and Naive Bayes use the StandardScaler output.</w:t>
      </w:r>
    </w:p>
    <w:p>
      <w:r>
        <w:br w:type="page"/>
      </w:r>
    </w:p>
    <w:p>
      <w:pPr>
        <w:pStyle w:val="Heading1"/>
      </w:pPr>
      <w:r>
        <w:t>3. Model Building</w:t>
      </w:r>
    </w:p>
    <w:p>
      <w:pPr>
        <w:pStyle w:val="Heading2"/>
      </w:pPr>
      <w:r>
        <w:t>3a. PCA - Dimensionality Context</w:t>
      </w:r>
    </w:p>
    <w:p>
      <w:r>
        <w:t>Before training, we ran a full PCA on the scaled training features to understand the dimensionality of the problem. Results:</w:t>
        <w:br/>
        <w:t>- 13 components needed to explain 90% of variance</w:t>
        <w:br/>
        <w:t>- 15 components for 95%, 19 for 99%</w:t>
        <w:br/>
        <w:t>- Top 5 PCs explain only 64.2% of variance</w:t>
        <w:br/>
        <w:br/>
        <w:t>The slow variance accumulation confirms the feature space is high-dimensional. The 2D PCA scatter plot shows substantial class overlap between defaulters and non-defaulters in the first two principal components, confirming that a linear decision boundary is insufficient and motivating non-linear models.</w:t>
      </w:r>
    </w:p>
    <w:p>
      <w:pPr>
        <w:pStyle w:val="Heading2"/>
      </w:pPr>
      <w:r>
        <w:t>3b. Model 1 - Logistic Regression</w:t>
      </w:r>
    </w:p>
    <w:p>
      <w:r>
        <w:rPr>
          <w:rFonts w:ascii="Courier New" w:hAnsi="Courier New"/>
          <w:sz w:val="18"/>
        </w:rPr>
        <w:t>lr_model = LogisticRegression(</w:t>
        <w:br/>
        <w:t xml:space="preserve">    C=1.0,               # L2 regularization, default strength</w:t>
        <w:br/>
        <w:t xml:space="preserve">    max_iter=1000,       # ensures convergence on 24k samples</w:t>
        <w:br/>
        <w:t xml:space="preserve">    class_weight='balanced',  # weights inversely proportional to class freq</w:t>
        <w:br/>
        <w:t xml:space="preserve">    solver='lbfgs',      # efficient for binary L2</w:t>
        <w:br/>
        <w:t xml:space="preserve">    random_state=42</w:t>
        <w:br/>
        <w:t>)</w:t>
      </w:r>
    </w:p>
    <w:p>
      <w:r>
        <w:t>The class_weight='balanced' parameter automatically adjusts sample weights so the minority class (defaulters) receives approximately 3.5x weight relative to non-defaulters. Without this, accuracy maximization leads the model to largely ignore the minority class. C=1.0 applies standard L2 regularization without aggressive shrinkage. max_iter=1000 was set above the default (100) to ensure the lbfgs solver converges on the full 24,000-sample training set.</w:t>
      </w:r>
    </w:p>
    <w:p>
      <w:pPr>
        <w:pStyle w:val="Heading2"/>
      </w:pPr>
      <w:r>
        <w:t>3c. Model 2 - Gaussian Naive Bayes</w:t>
      </w:r>
    </w:p>
    <w:p>
      <w:r>
        <w:rPr>
          <w:rFonts w:ascii="Courier New" w:hAnsi="Courier New"/>
          <w:sz w:val="18"/>
        </w:rPr>
        <w:t>nb_model = GaussianNB()  # no hyperparameters - estimates Gaussian params per class</w:t>
      </w:r>
    </w:p>
    <w:p>
      <w:r>
        <w:t>GNB estimates a Gaussian distribution (mean, variance) per feature per class from the training data. Its main limitation here is the independence assumption: BILL_AMT and PAY_AMT variables for consecutive months are highly correlated (Pearson r &gt; 0.9), which directly violates the naive assumption. We include GNB as a probabilistic benchmark to establish a reference point for the other models.</w:t>
      </w:r>
    </w:p>
    <w:p>
      <w:pPr>
        <w:pStyle w:val="Heading2"/>
      </w:pPr>
      <w:r>
        <w:t>3d. Model 3 - Decision Tree Classifier</w:t>
      </w:r>
    </w:p>
    <w:p>
      <w:r>
        <w:rPr>
          <w:rFonts w:ascii="Courier New" w:hAnsi="Courier New"/>
          <w:sz w:val="18"/>
        </w:rPr>
        <w:t>dt_model = DecisionTreeClassifier(</w:t>
        <w:br/>
        <w:t xml:space="preserve">    max_depth=5,           # prevents overfitting</w:t>
        <w:br/>
        <w:t xml:space="preserve">    min_samples_split=50,  # node needs &gt;= 50 samples to split</w:t>
        <w:br/>
        <w:t xml:space="preserve">    min_samples_leaf=20,   # leaf must have &gt;= 20 samples for stable estimates</w:t>
        <w:br/>
        <w:t xml:space="preserve">    class_weight='balanced',</w:t>
        <w:br/>
        <w:t xml:space="preserve">    criterion='gini',</w:t>
        <w:br/>
        <w:t xml:space="preserve">    random_state=42</w:t>
        <w:br/>
        <w:t>)</w:t>
      </w:r>
    </w:p>
    <w:p>
      <w:r>
        <w:t>max_depth=5 was chosen after manual inspection: deeper trees (depth 7-10) showed clear overfitting, with training AUC near 0.85 but test AUC dropping to ~0.73. At depth 5 the training and test AUC are well-aligned (~0.76 vs 0.76). min_samples_leaf=20 ensures each leaf has enough samples for stable probability estimates. The Decision Tree uses raw (unscaled) features because tree splits are threshold-based and scale-invariant.</w:t>
      </w:r>
    </w:p>
    <w:p>
      <w:pPr>
        <w:pStyle w:val="Heading2"/>
      </w:pPr>
      <w:r>
        <w:t>3e. Evaluation Framework</w:t>
      </w:r>
    </w:p>
    <w:p>
      <w:r>
        <w:t>All models were evaluated using:</w:t>
        <w:br/>
        <w:t>1. Classification report: precision, recall, F1 per class on the 6,000-sample test set</w:t>
        <w:br/>
        <w:t>2. Confusion matrix visualization</w:t>
        <w:br/>
        <w:t>3. ROC curve with AUC</w:t>
        <w:br/>
        <w:t>4. 5-Fold Stratified Cross-Validation (AUC scoring) on the training set</w:t>
      </w:r>
    </w:p>
    <w:p>
      <w:r>
        <w:rPr>
          <w:rFonts w:ascii="Courier New" w:hAnsi="Courier New"/>
          <w:sz w:val="18"/>
        </w:rPr>
        <w:t>cv = StratifiedKFold(n_splits=5, shuffle=True, random_state=42)</w:t>
        <w:br/>
        <w:t>cv_scores = cross_val_score(model, X_tr, y_tr, cv=cv, scoring='roc_auc')</w:t>
        <w:br/>
        <w:t># Reports: mean +/- std across 5 folds</w:t>
      </w:r>
    </w:p>
    <w:p>
      <w:r>
        <w:t>Stratified K-Fold preserves the 22.12% default rate in each fold. Reporting mean +/- std across 5 folds provides a realistic estimate of generalization and flags instability (high std = high variance model).</w:t>
      </w:r>
    </w:p>
    <w:p>
      <w:r>
        <w:br w:type="page"/>
      </w:r>
    </w:p>
    <w:p>
      <w:pPr>
        <w:pStyle w:val="Heading1"/>
      </w:pPr>
      <w:r>
        <w:t>4. Final Results and Analysis</w:t>
      </w:r>
    </w:p>
    <w:p>
      <w:pPr>
        <w:pStyle w:val="Heading2"/>
      </w:pPr>
      <w:r>
        <w:t>4a. Model Performance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F1-Score*</w:t>
            </w:r>
          </w:p>
        </w:tc>
        <w:tc>
          <w:tcPr>
            <w:tcW w:type="dxa" w:w="1234"/>
          </w:tcPr>
          <w:p>
            <w:r>
              <w:rPr>
                <w:b/>
              </w:rPr>
              <w:t>ROC-AUC</w:t>
            </w:r>
          </w:p>
        </w:tc>
        <w:tc>
          <w:tcPr>
            <w:tcW w:type="dxa" w:w="1234"/>
          </w:tcPr>
          <w:p>
            <w:r>
              <w:rPr>
                <w:b/>
              </w:rPr>
              <w:t>CV-AUC (5-fold)</w:t>
            </w:r>
          </w:p>
        </w:tc>
      </w:tr>
      <w:tr>
        <w:tc>
          <w:tcPr>
            <w:tcW w:type="dxa" w:w="1234"/>
          </w:tcPr>
          <w:p>
            <w:r>
              <w:t>Logistic Regression</w:t>
            </w:r>
          </w:p>
        </w:tc>
        <w:tc>
          <w:tcPr>
            <w:tcW w:type="dxa" w:w="1234"/>
          </w:tcPr>
          <w:p>
            <w:r>
              <w:t>0.6795</w:t>
            </w:r>
          </w:p>
        </w:tc>
        <w:tc>
          <w:tcPr>
            <w:tcW w:type="dxa" w:w="1234"/>
          </w:tcPr>
          <w:p>
            <w:r>
              <w:t>0.3671</w:t>
            </w:r>
          </w:p>
        </w:tc>
        <w:tc>
          <w:tcPr>
            <w:tcW w:type="dxa" w:w="1234"/>
          </w:tcPr>
          <w:p>
            <w:r>
              <w:t>0.6202</w:t>
            </w:r>
          </w:p>
        </w:tc>
        <w:tc>
          <w:tcPr>
            <w:tcW w:type="dxa" w:w="1234"/>
          </w:tcPr>
          <w:p>
            <w:r>
              <w:t>0.4612</w:t>
            </w:r>
          </w:p>
        </w:tc>
        <w:tc>
          <w:tcPr>
            <w:tcW w:type="dxa" w:w="1234"/>
          </w:tcPr>
          <w:p>
            <w:r>
              <w:t>0.7084</w:t>
            </w:r>
          </w:p>
        </w:tc>
        <w:tc>
          <w:tcPr>
            <w:tcW w:type="dxa" w:w="1234"/>
          </w:tcPr>
          <w:p>
            <w:r>
              <w:t>0.7264 +/- 0.0106</w:t>
            </w:r>
          </w:p>
        </w:tc>
      </w:tr>
      <w:tr>
        <w:tc>
          <w:tcPr>
            <w:tcW w:type="dxa" w:w="1234"/>
          </w:tcPr>
          <w:p>
            <w:r>
              <w:t>Naive Bayes</w:t>
            </w:r>
          </w:p>
        </w:tc>
        <w:tc>
          <w:tcPr>
            <w:tcW w:type="dxa" w:w="1234"/>
          </w:tcPr>
          <w:p>
            <w:r>
              <w:t>0.7518</w:t>
            </w:r>
          </w:p>
        </w:tc>
        <w:tc>
          <w:tcPr>
            <w:tcW w:type="dxa" w:w="1234"/>
          </w:tcPr>
          <w:p>
            <w:r>
              <w:t>0.4504</w:t>
            </w:r>
          </w:p>
        </w:tc>
        <w:tc>
          <w:tcPr>
            <w:tcW w:type="dxa" w:w="1234"/>
          </w:tcPr>
          <w:p>
            <w:r>
              <w:t>0.5539</w:t>
            </w:r>
          </w:p>
        </w:tc>
        <w:tc>
          <w:tcPr>
            <w:tcW w:type="dxa" w:w="1234"/>
          </w:tcPr>
          <w:p>
            <w:r>
              <w:t>0.4968</w:t>
            </w:r>
          </w:p>
        </w:tc>
        <w:tc>
          <w:tcPr>
            <w:tcW w:type="dxa" w:w="1234"/>
          </w:tcPr>
          <w:p>
            <w:r>
              <w:t>0.7248</w:t>
            </w:r>
          </w:p>
        </w:tc>
        <w:tc>
          <w:tcPr>
            <w:tcW w:type="dxa" w:w="1234"/>
          </w:tcPr>
          <w:p>
            <w:r>
              <w:t>0.7365 +/- 0.0102</w:t>
            </w:r>
          </w:p>
        </w:tc>
      </w:tr>
      <w:tr>
        <w:tc>
          <w:tcPr>
            <w:tcW w:type="dxa" w:w="1234"/>
          </w:tcPr>
          <w:p>
            <w:r>
              <w:t>Decision Tree</w:t>
            </w:r>
          </w:p>
        </w:tc>
        <w:tc>
          <w:tcPr>
            <w:tcW w:type="dxa" w:w="1234"/>
          </w:tcPr>
          <w:p>
            <w:r>
              <w:t>0.7723</w:t>
            </w:r>
          </w:p>
        </w:tc>
        <w:tc>
          <w:tcPr>
            <w:tcW w:type="dxa" w:w="1234"/>
          </w:tcPr>
          <w:p>
            <w:r>
              <w:t>0.4870</w:t>
            </w:r>
          </w:p>
        </w:tc>
        <w:tc>
          <w:tcPr>
            <w:tcW w:type="dxa" w:w="1234"/>
          </w:tcPr>
          <w:p>
            <w:r>
              <w:t>0.5516</w:t>
            </w:r>
          </w:p>
        </w:tc>
        <w:tc>
          <w:tcPr>
            <w:tcW w:type="dxa" w:w="1234"/>
          </w:tcPr>
          <w:p>
            <w:r>
              <w:t>0.5173</w:t>
            </w:r>
          </w:p>
        </w:tc>
        <w:tc>
          <w:tcPr>
            <w:tcW w:type="dxa" w:w="1234"/>
          </w:tcPr>
          <w:p>
            <w:r>
              <w:t>0.7589</w:t>
            </w:r>
          </w:p>
        </w:tc>
        <w:tc>
          <w:tcPr>
            <w:tcW w:type="dxa" w:w="1234"/>
          </w:tcPr>
          <w:p>
            <w:r>
              <w:t>0.7577 +/- 0.0067</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t>* Precision, Recall, F1-Score reported for the Default (positive) class only.</w:t>
      </w:r>
    </w:p>
    <w:p>
      <w:pPr>
        <w:pStyle w:val="Heading2"/>
      </w:pPr>
      <w:r>
        <w:t>4b. Analysis and Interpretation</w:t>
      </w:r>
    </w:p>
    <w:p>
      <w:r>
        <w:t>The Decision Tree is the best-performing model across all primary metrics, but results reveal important trade-offs:</w:t>
        <w:br/>
        <w:br/>
        <w:t>Logistic Regression achieves the highest Recall (0.6202), catching the most actual defaulters. Its Accuracy (0.6795) is lowest and Precision is only 0.37, meaning most of its default predictions are false positives - a direct consequence of class_weight='balanced' pushing the decision threshold toward the minority class.</w:t>
        <w:br/>
        <w:br/>
        <w:t>Naive Bayes occupies a middle ground. Its Accuracy (0.7518) is higher than LR but this comes at the cost of lower Recall (0.55 vs 0.62). Its CV-AUC (0.7365) is second-best, suggesting the probabilistic framework generalizes reasonably well despite violated independence assumptions.</w:t>
        <w:br/>
        <w:br/>
        <w:t>Decision Tree is the strongest model overall: highest Accuracy (0.7723), best F1-Score (0.5173), best ROC-AUC (0.7589), and best CV-AUC (0.7577 +/- 0.0067). The very low standard deviation across 5 folds (0.0067) indicates the model generalizes consistently rather than overfitting to any single split.</w:t>
        <w:br/>
        <w:br/>
        <w:t>The ROC-AUC scores for all three models fall in the 0.71-0.76 range, which is modest but not unusual. Yeh &amp; Lien (2009) reported AUC scores in the 0.72-0.77 range for similar models on this same dataset, confirming our implementation is correct.</w:t>
      </w:r>
    </w:p>
    <w:p>
      <w:pPr>
        <w:pStyle w:val="Heading2"/>
      </w:pPr>
      <w:r>
        <w:t>4c. Feature Importance Findings</w:t>
      </w:r>
    </w:p>
    <w:p>
      <w:r>
        <w:t>The Decision Tree Gini importance reveals a striking concentration: PAY_0 alone accounts for 74.61% of all splits. The full top-10 ranking:</w:t>
        <w:br/>
        <w:br/>
        <w:t xml:space="preserve">  1. PAY_0:    74.61%     6. PAY_2:    2.00%</w:t>
        <w:br/>
        <w:t xml:space="preserve">  2. PAY_AMT2: 7.37%      7. PAY_AMT4: 1.50%</w:t>
        <w:br/>
        <w:t xml:space="preserve">  3. PAY_4:    3.72%      8. PAY_AMT3: 1.48%</w:t>
        <w:br/>
        <w:t xml:space="preserve">  4. LIMIT_BAL:2.76%      9. PAY_AMT1: 1.05%</w:t>
        <w:br/>
        <w:t xml:space="preserve">  5. PAY_3:    2.25%     10. BILL_AMT2: 0.89%</w:t>
        <w:br/>
        <w:br/>
        <w:t>Whether a client paid on time last month is by far the strongest predictor of whether they will default next month. Demographic features (SEX, MARRIAGE, EDUCATION) have near-zero importance - the model is not leveraging protected attributes to make predictions, which is a favorable fairness property.</w:t>
      </w:r>
    </w:p>
    <w:p>
      <w:r>
        <w:t>Logistic Regression coefficients confirm the dominant role of payment status variables, though the magnitude ordering differs slightly because LR is sensitive to feature scaling and collinearity among the PAY_AMT variables.</w:t>
      </w:r>
    </w:p>
    <w:p>
      <w:pPr>
        <w:pStyle w:val="Heading2"/>
      </w:pPr>
      <w:r>
        <w:t>4d. Confusion Matrix Observations</w:t>
      </w:r>
    </w:p>
    <w:p>
      <w:r>
        <w:t>Across all three models, false negatives (actual defaults predicted as non-defaults) remain the dominant error type. This is expected given the 3.5:1 class imbalance. The Decision Tree with class_weight='balanced' strikes the best balance: it correctly identifies a meaningful fraction of defaulters (Recall 0.55) while maintaining acceptable Precision (0.49). Without balanced weighting, all three models would collapse toward predicting the majority class, achieving ~77.88% accuracy but near-zero Recall on the default class.</w:t>
      </w:r>
    </w:p>
    <w:p>
      <w:r>
        <w:br w:type="page"/>
      </w:r>
    </w:p>
    <w:p>
      <w:pPr>
        <w:pStyle w:val="Heading1"/>
      </w:pPr>
      <w:r>
        <w:t>5. Limitations and Future Work</w:t>
      </w:r>
    </w:p>
    <w:p>
      <w:pPr>
        <w:pStyle w:val="Heading2"/>
      </w:pPr>
      <w:r>
        <w:t>5a. Dataset Limitations</w:t>
      </w:r>
    </w:p>
    <w:p>
      <w:r>
        <w:t>The dataset captures a single Taiwanese bank from a specific six-month window in 2005. Economic conditions, lending regulations, and consumer behavior in Taiwan circa 2005 may differ substantially from other geographies or time periods, limiting generalizability. The data contains 35 duplicate rows and 399 rows with undocumented categorical values (1.3% of data). Credit limit is capped at NT$1,000,000 (~USD 30,000 at 2005 exchange rates), so models trained here would likely not generalize to high-limit portfolios or modern lending contexts where revolving credit behaviors differ.</w:t>
      </w:r>
    </w:p>
    <w:p>
      <w:pPr>
        <w:pStyle w:val="Heading2"/>
      </w:pPr>
      <w:r>
        <w:t>5b. Model Limitations</w:t>
      </w:r>
    </w:p>
    <w:p>
      <w:r>
        <w:t>All three models have known structural limitations. Logistic Regression assumes a linear decision boundary, clearly violated given the PCA analysis showing non-linear class structure. Gaussian Naive Bayes assumes feature independence, violated by high correlations among consecutive billing and payment amounts (Pearson r &gt; 0.9). The Decision Tree, while the best performer, is a single shallow tree (max_depth=5) and is sensitive to training data perturbations.</w:t>
        <w:br/>
        <w:br/>
        <w:t>None of the models explicitly handle the temporal ordering of the six-month payment history. The PAY columns are treated as independent features rather than a time series, potentially losing sequential information about payment behavior trends.</w:t>
      </w:r>
    </w:p>
    <w:p>
      <w:pPr>
        <w:pStyle w:val="Heading2"/>
      </w:pPr>
      <w:r>
        <w:t>5c. Future Directions</w:t>
      </w:r>
    </w:p>
    <w:p>
      <w:r>
        <w:t>1. Ensemble methods: Random Forest and Gradient Boosting (XGBoost, LightGBM) are the natural next step. These typically improve AUC by 3-8 percentage points on this dataset.</w:t>
        <w:br/>
        <w:br/>
        <w:t>2. SMOTE oversampling: Synthetic Minority Oversampling Technique could balance classes in the training pipeline, potentially improving Recall without the precision cost that class_weight='balanced' introduces.</w:t>
        <w:br/>
        <w:br/>
        <w:t>3. Full hyperparameter tuning: GridSearchCV across a broader grid (Decision Tree depth 3-10, min_samples_leaf 10-50, LR C in [0.01, 0.1, 1, 10]) would likely yield measurable improvements.</w:t>
        <w:br/>
        <w:br/>
        <w:t>4. Temporal modeling: Treating the six-month PAY and BILL sequences as a time series using feature engineering (payment trend slopes, running averages, delta features) could capture behavioral patterns the current models miss.</w:t>
        <w:br/>
        <w:br/>
        <w:t>5. Probability calibration: Platt scaling or isotonic regression would improve probability estimates, important when model output is used to set credit limits rather than make a hard binary decision.</w:t>
      </w:r>
    </w:p>
    <w:p>
      <w:r>
        <w:br w:type="page"/>
      </w:r>
    </w:p>
    <w:p>
      <w:pPr>
        <w:pStyle w:val="Heading1"/>
      </w:pPr>
      <w:r>
        <w:t>6. Team Contributions and Conclusion</w:t>
      </w:r>
    </w:p>
    <w:p>
      <w:pPr>
        <w:pStyle w:val="Heading2"/>
      </w:pPr>
      <w:r>
        <w:t>6a. Individual Contributions</w:t>
      </w:r>
    </w:p>
    <w:p>
      <w:r>
        <w:t>Spencer Kone: Led project setup and infrastructure throughout all milestones. Set up the GitHub repository, established the notebook structure, integrated the UCI dataset loading pipeline (ucimlrepo API with XLS fallback), and drove the Milestone 1 model selection decision. For the final report, Spencer was responsible for hyperparameter exploration and the model comparison visualization framework.</w:t>
      </w:r>
    </w:p>
    <w:p>
      <w:r>
        <w:t>Muhammad H. Bahar: Ran the primary notebook execution on JupyterHub and shared computational outputs across milestones. Performed the cross-validation experiments, generated the confusion matrix plots, and verified reproducibility across different execution environments. For the final report, Muhammad focused on interpreting ROC curves and CV-AUC stability.</w:t>
      </w:r>
    </w:p>
    <w:p>
      <w:r>
        <w:t>Leela Pavan Kumar Kunapureddy: Owned data cleaning and feature engineering throughout. Identified the undocumented EDUCATION and MARRIAGE values, researched how Yeh &amp; Lien (2009) described these categories, and implemented the remapping logic. Also performed the PCA analysis and generated the scree, cumulative variance, and 2D scatter visualizations.</w:t>
      </w:r>
    </w:p>
    <w:p>
      <w:r>
        <w:t>Shalem Raju Maddirala: Led documentation and report writing across all milestones. Responsible for synthesizing technical findings into coherent narrative, structuring the Milestone 2 progress report outline, compiling the final report, and supporting the presentation preparation and slide deck content.</w:t>
      </w:r>
    </w:p>
    <w:p>
      <w:pPr>
        <w:pStyle w:val="Heading2"/>
      </w:pPr>
      <w:r>
        <w:t>6b. Concluding Remarks</w:t>
      </w:r>
    </w:p>
    <w:p>
      <w:r>
        <w:t>This project confirmed several things we expected and surfaced a few we did not. The dominance of PAY_0 as a predictor (74.6% of Decision Tree splits) was anticipated from the literature but striking to observe empirically: a single variable about last month's payment behavior towers over 22 other features. A bank could build a simple rule - if the customer was late paying last month, flag as high risk - and recover most of the predictive signal.</w:t>
        <w:br/>
        <w:br/>
        <w:t>What surprised us was the degree of class overlap in PCA space. Visually, the first two principal components do not separate defaulters from non-defaulters at all, yet the models still achieve AUC scores in the 0.73-0.76 range. This suggests the separation happens in higher-dimensional feature subspaces that PCA compresses away.</w:t>
        <w:br/>
        <w:br/>
        <w:t>If we were starting over, we would build a proper sklearn Pipeline from the outset to avoid the manual bookkeeping of when to apply scaling. We would also run GridSearchCV earlier in the timeline rather than treating tuning as a final-step item.</w:t>
      </w:r>
    </w:p>
    <w:p>
      <w:r>
        <w:br w:type="page"/>
      </w:r>
    </w:p>
    <w:p>
      <w:pPr>
        <w:pStyle w:val="Heading1"/>
      </w:pPr>
      <w:r>
        <w:t>7. AI Declaration and Citations</w:t>
      </w:r>
    </w:p>
    <w:p>
      <w:pPr>
        <w:pStyle w:val="Heading2"/>
      </w:pPr>
      <w:r>
        <w:t>7a. AI Tool Declaration</w:t>
      </w:r>
    </w:p>
    <w:p>
      <w:r>
        <w:t>Group 3 used two AI tools in the course of this project: Claude (Anthropic, claude.ai) and the Google Antigravity IDE assistant. AI assistance was used in the following specific ways:</w:t>
        <w:br/>
        <w:br/>
        <w:t>1. Code scaffolding: We used Claude to generate boilerplate Python code for data loading, StandardScaler fit/transform, and matplotlib/seaborn figure templates. All code was reviewed, modified, and tested by team members before inclusion in the notebook.</w:t>
        <w:br/>
        <w:br/>
        <w:t>2. Report structure: The outline for the Milestone 2 progress report was drafted with AI assistance, then edited and expanded with our own analysis and empirical findings.</w:t>
        <w:br/>
        <w:br/>
        <w:t>3. Debugging: When the ucimlrepo API returned columns named X1-X23 instead of descriptive names, we used Claude to help write the renaming dictionary.</w:t>
        <w:br/>
        <w:br/>
        <w:t>All analytical observations, interpretations, and conclusions in this report are our own. The feature importance interpretation, the PAY_0 dominance finding, confusion matrix observations, and future work recommendations reflect our own reading of the outputs. AI tools were a productivity aid, not a substitute for understanding.</w:t>
      </w:r>
    </w:p>
    <w:p>
      <w:pPr>
        <w:pStyle w:val="Heading2"/>
      </w:pPr>
      <w:r>
        <w:t>7b. Citations</w:t>
      </w:r>
    </w:p>
    <w:p>
      <w:r>
        <w:t>Yeh, I. C., &amp; Lien, C. H. (2009). The comparisons of data mining techniques for the predictive accuracy of probability of default of credit card clients. Expert Systems with Applications, 36(2), 2473-2480. https://doi.org/10.1016/j.eswa.2007.12.020</w:t>
        <w:br/>
        <w:br/>
        <w:t>UCI Machine Learning Repository. (2016). Default of Credit Card Clients (Dataset ID 350). https://archive.ics.uci.edu/dataset/350/default+of+credit+card+clients</w:t>
        <w:br/>
        <w:br/>
        <w:t>Pedregosa, F., et al. (2011). Scikit-learn: Machine Learning in Python. Journal of Machine Learning Research, 12, 2825-2830. https://scikit-learn.org</w:t>
        <w:br/>
        <w:br/>
        <w:t>Pandas Development Team. (2024). pandas: powerful Python data analysis toolkit. https://pandas.pydata.org</w:t>
        <w:br/>
        <w:br/>
        <w:t>Hunter, J. D. (2007). Matplotlib: A 2D graphics environment. Computing in Science &amp; Engineering, 9(3), 90-95.</w:t>
        <w:br/>
        <w:br/>
        <w:t>Waskom, M. L. (2021). seaborn: statistical data visualization. Journal of Open Source Software, 6(60), 3021.</w:t>
        <w:br/>
        <w:br/>
        <w:t>Harris, C. R., et al. (2020). Array programming with NumPy. Nature, 585, 357-362. https://doi.org/10.1038/s41586-020-2649-2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