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2"/>
          <w:szCs w:val="32"/>
        </w:rPr>
        <w:t xml:space="preserve">Export-Control Classification — Attorney Intake Brief</w:t>
      </w:r>
    </w:p>
    <w:p>
      <w:pPr>
        <w:spacing w:after="40"/>
      </w:pPr>
      <w:r>
        <w:rPr>
          <w:rFonts w:ascii="Calibri" w:cs="Calibri" w:eastAsia="Calibri" w:hAnsi="Calibri"/>
          <w:b/>
          <w:bCs/>
          <w:color w:val="595959"/>
          <w:sz w:val="22"/>
          <w:szCs w:val="22"/>
        </w:rPr>
        <w:t xml:space="preserve">SecRed Knowledge Inc. (d/b/a NouchiX)  •  KHEPRA Protocol</w:t>
      </w:r>
    </w:p>
    <w:p>
      <w:pPr>
        <w:spacing w:after="20"/>
      </w:pPr>
      <w:r>
        <w:rPr>
          <w:rFonts w:ascii="Calibri" w:cs="Calibri" w:eastAsia="Calibri" w:hAnsi="Calibri"/>
          <w:color w:val="595959"/>
          <w:sz w:val="18"/>
          <w:szCs w:val="18"/>
        </w:rPr>
        <w:t xml:space="preserve">Purpose: support a jurisdiction (ITAR vs. EAR) and classification consult.</w:t>
      </w:r>
    </w:p>
    <w:p>
      <w:pPr>
        <w:spacing w:after="20"/>
      </w:pPr>
      <w:r>
        <w:rPr>
          <w:rFonts w:ascii="Calibri" w:cs="Calibri" w:eastAsia="Calibri" w:hAnsi="Calibri"/>
          <w:color w:val="595959"/>
          <w:sz w:val="18"/>
          <w:szCs w:val="18"/>
        </w:rPr>
        <w:t xml:space="preserve">Prepared by the requestor. Not legal advice. Intended to become attorney-client privileged upon engagement.</w:t>
      </w:r>
    </w:p>
    <w:p>
      <w:pPr>
        <w:pBdr>
          <w:bottom w:val="single" w:color="BFBFBF" w:sz="6" w:space="1"/>
        </w:pBdr>
        <w:spacing w:after="150" w:before="100"/>
      </w:pPr>
    </w:p>
    <w:p>
      <w:pPr>
        <w:spacing w:after="70" w:before="220"/>
      </w:pPr>
      <w:r>
        <w:rPr>
          <w:rFonts w:ascii="Calibri" w:cs="Calibri" w:eastAsia="Calibri" w:hAnsi="Calibri"/>
          <w:b/>
          <w:bCs/>
          <w:color w:val="1F3864"/>
          <w:sz w:val="23"/>
          <w:szCs w:val="23"/>
        </w:rPr>
        <w:t xml:space="preserve">1.  Bottom Line / What We Need</w:t>
      </w:r>
    </w:p>
    <w:p>
      <w:pPr>
        <w:spacing w:after="120" w:line="280"/>
        <w:jc w:val="both"/>
      </w:pPr>
      <w:r>
        <w:rPr>
          <w:rFonts w:ascii="Calibri" w:cs="Calibri" w:eastAsia="Calibri" w:hAnsi="Calibri"/>
          <w:b w:val="false"/>
          <w:bCs w:val="false"/>
          <w:i w:val="false"/>
          <w:iCs w:val="false"/>
          <w:color w:val="000000"/>
          <w:sz w:val="21"/>
          <w:szCs w:val="21"/>
        </w:rPr>
        <w:t xml:space="preserve">We are a U.S. company with a patent-pending cryptographic security platform. A UAE state-owned defense entity (EDGE Group) has invited a proposal. To date we have shared only a high-level, non-technical capability overview containing no source, design detail, or controlled technical data. Before any technical detail, source code, or hands-on assistance crosses the border, we want (a) a defensible jurisdiction and classification determination, and (b) a clear compliance path for engaging this end-user. We do not intend to proceed technically until this is resolved.</w:t>
      </w:r>
    </w:p>
    <w:p>
      <w:pPr>
        <w:spacing w:after="70" w:before="220"/>
      </w:pPr>
      <w:r>
        <w:rPr>
          <w:rFonts w:ascii="Calibri" w:cs="Calibri" w:eastAsia="Calibri" w:hAnsi="Calibri"/>
          <w:b/>
          <w:bCs/>
          <w:color w:val="1F3864"/>
          <w:sz w:val="23"/>
          <w:szCs w:val="23"/>
        </w:rPr>
        <w:t xml:space="preserve">2.  Requestor</w:t>
      </w:r>
    </w:p>
    <w:p>
      <w:pPr>
        <w:pStyle w:val="ListParagraph"/>
        <w:numPr>
          <w:ilvl w:val="0"/>
          <w:numId w:val="1"/>
        </w:numPr>
        <w:spacing w:after="70" w:line="276"/>
      </w:pPr>
      <w:r>
        <w:rPr>
          <w:rFonts w:ascii="Calibri" w:cs="Calibri" w:eastAsia="Calibri" w:hAnsi="Calibri"/>
          <w:b/>
          <w:bCs/>
          <w:i w:val="false"/>
          <w:iCs w:val="false"/>
          <w:sz w:val="21"/>
          <w:szCs w:val="21"/>
        </w:rPr>
        <w:t xml:space="preserve">Entity: </w:t>
      </w:r>
      <w:r>
        <w:rPr>
          <w:rFonts w:ascii="Calibri" w:cs="Calibri" w:eastAsia="Calibri" w:hAnsi="Calibri"/>
          <w:b w:val="false"/>
          <w:bCs w:val="false"/>
          <w:i w:val="false"/>
          <w:iCs w:val="false"/>
          <w:sz w:val="21"/>
          <w:szCs w:val="21"/>
        </w:rPr>
        <w:t xml:space="preserve">SecRed Knowledge Inc., a Delaware C-Corporation (d/b/a NouchiX). Holds an exclusive license to the KHEPRA intellectual property from SOUHIMBOU DOH KONE LLC.</w:t>
      </w:r>
    </w:p>
    <w:p>
      <w:pPr>
        <w:pStyle w:val="ListParagraph"/>
        <w:numPr>
          <w:ilvl w:val="0"/>
          <w:numId w:val="1"/>
        </w:numPr>
        <w:spacing w:after="70" w:line="276"/>
      </w:pPr>
      <w:r>
        <w:rPr>
          <w:rFonts w:ascii="Calibri" w:cs="Calibri" w:eastAsia="Calibri" w:hAnsi="Calibri"/>
          <w:b/>
          <w:bCs/>
          <w:i w:val="false"/>
          <w:iCs w:val="false"/>
          <w:sz w:val="21"/>
          <w:szCs w:val="21"/>
        </w:rPr>
        <w:t xml:space="preserve">Founder/principal: </w:t>
      </w:r>
      <w:r>
        <w:rPr>
          <w:rFonts w:ascii="Calibri" w:cs="Calibri" w:eastAsia="Calibri" w:hAnsi="Calibri"/>
          <w:b w:val="false"/>
          <w:bCs w:val="false"/>
          <w:i w:val="false"/>
          <w:iCs w:val="false"/>
          <w:sz w:val="21"/>
          <w:szCs w:val="21"/>
        </w:rPr>
        <w:t xml:space="preserve">U.S. person; U.S. Army combat veteran (Signal Corps, satellite-communications operator-maintainer, MOS 25S). Recently separated from the Army National Guard (general discharge, July 2026) and may retain a residual Individual Ready Reserve obligation; a security-clearance status matter is currently unresolved. Flagged because it may bear on the U.S.-person technical-assistance analysis.</w:t>
      </w:r>
    </w:p>
    <w:p>
      <w:pPr>
        <w:spacing w:after="70" w:before="220"/>
      </w:pPr>
      <w:r>
        <w:rPr>
          <w:rFonts w:ascii="Calibri" w:cs="Calibri" w:eastAsia="Calibri" w:hAnsi="Calibri"/>
          <w:b/>
          <w:bCs/>
          <w:color w:val="1F3864"/>
          <w:sz w:val="23"/>
          <w:szCs w:val="23"/>
        </w:rPr>
        <w:t xml:space="preserve">3.  The Technology — Two Cryptographic Layers (central distinction)</w:t>
      </w:r>
    </w:p>
    <w:p>
      <w:pPr>
        <w:spacing w:after="120" w:line="280"/>
        <w:jc w:val="both"/>
      </w:pPr>
      <w:r>
        <w:rPr>
          <w:rFonts w:ascii="Calibri" w:cs="Calibri" w:eastAsia="Calibri" w:hAnsi="Calibri"/>
          <w:b w:val="false"/>
          <w:bCs w:val="false"/>
          <w:i w:val="false"/>
          <w:iCs w:val="false"/>
          <w:color w:val="000000"/>
          <w:sz w:val="21"/>
          <w:szCs w:val="21"/>
        </w:rPr>
        <w:t xml:space="preserve">KHEPRA is cryptographic security and attestation software. Its cryptographic core has two distinct layers, and the distinction is central to classification:</w:t>
      </w:r>
    </w:p>
    <w:p>
      <w:pPr>
        <w:pStyle w:val="ListParagraph"/>
        <w:numPr>
          <w:ilvl w:val="0"/>
          <w:numId w:val="1"/>
        </w:numPr>
        <w:spacing w:after="70" w:line="276"/>
      </w:pPr>
      <w:r>
        <w:rPr>
          <w:rFonts w:ascii="Calibri" w:cs="Calibri" w:eastAsia="Calibri" w:hAnsi="Calibri"/>
          <w:b/>
          <w:bCs/>
          <w:i w:val="false"/>
          <w:iCs w:val="false"/>
          <w:sz w:val="21"/>
          <w:szCs w:val="21"/>
        </w:rPr>
        <w:t xml:space="preserve">Standard layer: </w:t>
      </w:r>
      <w:r>
        <w:rPr>
          <w:rFonts w:ascii="Calibri" w:cs="Calibri" w:eastAsia="Calibri" w:hAnsi="Calibri"/>
          <w:b w:val="false"/>
          <w:bCs w:val="false"/>
          <w:i w:val="false"/>
          <w:iCs w:val="false"/>
          <w:sz w:val="21"/>
          <w:szCs w:val="21"/>
        </w:rPr>
        <w:t xml:space="preserve">the post-quantum primitives are NIST-standardized ML-KEM and ML-DSA (FIPS 203 / 204), invoked through the open-source Cloudflare CIRCL library. These are standard algorithms in a widely-published implementation.</w:t>
      </w:r>
    </w:p>
    <w:p>
      <w:pPr>
        <w:pStyle w:val="ListParagraph"/>
        <w:numPr>
          <w:ilvl w:val="0"/>
          <w:numId w:val="1"/>
        </w:numPr>
        <w:spacing w:after="70" w:line="276"/>
      </w:pPr>
      <w:r>
        <w:rPr>
          <w:rFonts w:ascii="Calibri" w:cs="Calibri" w:eastAsia="Calibri" w:hAnsi="Calibri"/>
          <w:b/>
          <w:bCs/>
          <w:i w:val="false"/>
          <w:iCs w:val="false"/>
          <w:sz w:val="21"/>
          <w:szCs w:val="21"/>
        </w:rPr>
        <w:t xml:space="preserve">Novel / proprietary layer: </w:t>
      </w:r>
      <w:r>
        <w:rPr>
          <w:rFonts w:ascii="Calibri" w:cs="Calibri" w:eastAsia="Calibri" w:hAnsi="Calibri"/>
          <w:b w:val="false"/>
          <w:bCs w:val="false"/>
          <w:i w:val="false"/>
          <w:iCs w:val="false"/>
          <w:sz w:val="21"/>
          <w:szCs w:val="21"/>
        </w:rPr>
        <w:t xml:space="preserve">layered on top is a proprietary, patented symbol-parameterized key-derivation method that derives key parameters (salts, seeds, or noise parameters) from Adinkra algebraic descriptors. This layer is novel to KHEPRA and is not part of CIRCL or any published library. The platform also includes a DAG audit ledger and a validation layer.</w:t>
      </w:r>
    </w:p>
    <w:p>
      <w:pPr>
        <w:spacing w:after="100" w:before="80" w:line="270"/>
      </w:pPr>
      <w:r>
        <w:rPr>
          <w:rFonts w:ascii="Calibri" w:cs="Calibri" w:eastAsia="Calibri" w:hAnsi="Calibri"/>
          <w:b w:val="false"/>
          <w:bCs w:val="false"/>
          <w:i/>
          <w:iCs/>
          <w:color w:val="000000"/>
          <w:sz w:val="19"/>
          <w:szCs w:val="19"/>
        </w:rPr>
        <w:t xml:space="preserve">We separate the two layers deliberately: their export treatment may differ. The CIRCL primitives are standard commercial cryptography; the proprietary key-derivation layer is the part whose treatment (standard vs. non-standard / proprietary cryptography) we need counsel to determine. We are not asserting either conclusion.</w:t>
      </w:r>
    </w:p>
    <w:p>
      <w:pPr>
        <w:spacing w:after="70" w:before="220"/>
      </w:pPr>
      <w:r>
        <w:rPr>
          <w:rFonts w:ascii="Calibri" w:cs="Calibri" w:eastAsia="Calibri" w:hAnsi="Calibri"/>
          <w:b/>
          <w:bCs/>
          <w:color w:val="1F3864"/>
          <w:sz w:val="23"/>
          <w:szCs w:val="23"/>
        </w:rPr>
        <w:t xml:space="preserve">4.  Product Scope vs. Patent Scope — Shipped Evidence</w:t>
      </w:r>
    </w:p>
    <w:p>
      <w:pPr>
        <w:spacing w:after="120" w:line="280"/>
        <w:jc w:val="both"/>
      </w:pPr>
      <w:r>
        <w:rPr>
          <w:rFonts w:ascii="Calibri" w:cs="Calibri" w:eastAsia="Calibri" w:hAnsi="Calibri"/>
          <w:b w:val="false"/>
          <w:bCs w:val="false"/>
          <w:i w:val="false"/>
          <w:iCs w:val="false"/>
          <w:color w:val="000000"/>
          <w:sz w:val="21"/>
          <w:szCs w:val="21"/>
        </w:rPr>
        <w:t xml:space="preserve">Classification should attach to what is actually shipped. The following is the shipped scope; bracketed items require our engineering confirmation and are flagged as such.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250"/>
        <w:gridCol w:w="2860"/>
        <w:gridCol w:w="3200"/>
      </w:tblGrid>
      <w:tr>
        <w:trPr>
          <w:tblHeader/>
        </w:trPr>
        <w:tc>
          <w:tcPr>
            <w:tcW w:type="dxa" w:w="2050"/>
            <w:shd w:fill="1F3864" w:color="auto" w:val="clear"/>
            <w:tcMar>
              <w:top w:type="dxa" w:w="60"/>
              <w:left w:type="dxa" w:w="90"/>
              <w:bottom w:type="dxa" w:w="60"/>
              <w:right w:type="dxa" w:w="90"/>
            </w:tcMar>
          </w:tcPr>
          <w:p>
            <w:pPr>
              <w:spacing w:line="250"/>
            </w:pPr>
            <w:r>
              <w:rPr>
                <w:rFonts w:ascii="Calibri" w:cs="Calibri" w:eastAsia="Calibri" w:hAnsi="Calibri"/>
                <w:b/>
                <w:bCs/>
                <w:i w:val="false"/>
                <w:iCs w:val="false"/>
                <w:color w:val="FFFFFF"/>
                <w:sz w:val="18"/>
                <w:szCs w:val="18"/>
              </w:rPr>
              <w:t xml:space="preserve">Component</w:t>
            </w:r>
          </w:p>
        </w:tc>
        <w:tc>
          <w:tcPr>
            <w:tcW w:type="dxa" w:w="1250"/>
            <w:shd w:fill="1F3864" w:color="auto" w:val="clear"/>
            <w:tcMar>
              <w:top w:type="dxa" w:w="60"/>
              <w:left w:type="dxa" w:w="90"/>
              <w:bottom w:type="dxa" w:w="60"/>
              <w:right w:type="dxa" w:w="90"/>
            </w:tcMar>
          </w:tcPr>
          <w:p>
            <w:pPr>
              <w:spacing w:line="250"/>
            </w:pPr>
            <w:r>
              <w:rPr>
                <w:rFonts w:ascii="Calibri" w:cs="Calibri" w:eastAsia="Calibri" w:hAnsi="Calibri"/>
                <w:b/>
                <w:bCs/>
                <w:i w:val="false"/>
                <w:iCs w:val="false"/>
                <w:color w:val="FFFFFF"/>
                <w:sz w:val="18"/>
                <w:szCs w:val="18"/>
              </w:rPr>
              <w:t xml:space="preserve">Status</w:t>
            </w:r>
          </w:p>
        </w:tc>
        <w:tc>
          <w:tcPr>
            <w:tcW w:type="dxa" w:w="2860"/>
            <w:shd w:fill="1F3864" w:color="auto" w:val="clear"/>
            <w:tcMar>
              <w:top w:type="dxa" w:w="60"/>
              <w:left w:type="dxa" w:w="90"/>
              <w:bottom w:type="dxa" w:w="60"/>
              <w:right w:type="dxa" w:w="90"/>
            </w:tcMar>
          </w:tcPr>
          <w:p>
            <w:pPr>
              <w:spacing w:line="250"/>
            </w:pPr>
            <w:r>
              <w:rPr>
                <w:rFonts w:ascii="Calibri" w:cs="Calibri" w:eastAsia="Calibri" w:hAnsi="Calibri"/>
                <w:b/>
                <w:bCs/>
                <w:i w:val="false"/>
                <w:iCs w:val="false"/>
                <w:color w:val="FFFFFF"/>
                <w:sz w:val="18"/>
                <w:szCs w:val="18"/>
              </w:rPr>
              <w:t xml:space="preserve">What it does</w:t>
            </w:r>
          </w:p>
        </w:tc>
        <w:tc>
          <w:tcPr>
            <w:tcW w:type="dxa" w:w="3200"/>
            <w:shd w:fill="1F3864" w:color="auto" w:val="clear"/>
            <w:tcMar>
              <w:top w:type="dxa" w:w="60"/>
              <w:left w:type="dxa" w:w="90"/>
              <w:bottom w:type="dxa" w:w="60"/>
              <w:right w:type="dxa" w:w="90"/>
            </w:tcMar>
          </w:tcPr>
          <w:p>
            <w:pPr>
              <w:spacing w:line="250"/>
            </w:pPr>
            <w:r>
              <w:rPr>
                <w:rFonts w:ascii="Calibri" w:cs="Calibri" w:eastAsia="Calibri" w:hAnsi="Calibri"/>
                <w:b/>
                <w:bCs/>
                <w:i w:val="false"/>
                <w:iCs w:val="false"/>
                <w:color w:val="FFFFFF"/>
                <w:sz w:val="18"/>
                <w:szCs w:val="18"/>
              </w:rPr>
              <w:t xml:space="preserve">Cryptography &amp; publication</w:t>
            </w:r>
          </w:p>
        </w:tc>
      </w:tr>
      <w:tr>
        <w:trPr>
          <w:tblHeader w:val="false"/>
        </w:trPr>
        <w:tc>
          <w:tcPr>
            <w:tcW w:type="dxa" w:w="205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PQC-Khepra-MCP scanner</w:t>
            </w:r>
          </w:p>
        </w:tc>
        <w:tc>
          <w:tcPr>
            <w:tcW w:type="dxa" w:w="125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Production (most mature)</w:t>
            </w:r>
          </w:p>
        </w:tc>
        <w:tc>
          <w:tcPr>
            <w:tcW w:type="dxa" w:w="286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Assesses code/systems for post-quantum readiness and maps compliance.</w:t>
            </w:r>
          </w:p>
        </w:tc>
        <w:tc>
          <w:tcPr>
            <w:tcW w:type="dxa" w:w="320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Standard NIST ML-KEM/ML-DSA via open-source Cloudflare CIRCL. Community tier published open-source. </w:t>
            </w:r>
            <w:r>
              <w:rPr>
                <w:rFonts w:ascii="Calibri" w:cs="Calibri" w:eastAsia="Calibri" w:hAnsi="Calibri"/>
                <w:b w:val="false"/>
                <w:bCs w:val="false"/>
                <w:i/>
                <w:iCs/>
                <w:color w:val="000000"/>
                <w:sz w:val="18"/>
                <w:szCs w:val="18"/>
              </w:rPr>
              <w:t xml:space="preserve">[Confirm: does the scanner deploy the proprietary KDF, or only call standard primitives?]</w:t>
            </w:r>
          </w:p>
        </w:tc>
      </w:tr>
      <w:tr>
        <w:trPr>
          <w:tblHeader w:val="false"/>
        </w:trPr>
        <w:tc>
          <w:tcPr>
            <w:tcW w:type="dxa" w:w="205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SouHimBou AI flight recorder</w:t>
            </w:r>
          </w:p>
        </w:tc>
        <w:tc>
          <w:tcPr>
            <w:tcW w:type="dxa" w:w="125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Beta</w:t>
            </w:r>
          </w:p>
        </w:tc>
        <w:tc>
          <w:tcPr>
            <w:tcW w:type="dxa" w:w="286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Tamper-evident audit record of AI-agent actions (DAG ledger).</w:t>
            </w:r>
          </w:p>
        </w:tc>
        <w:tc>
          <w:tcPr>
            <w:tcW w:type="dxa" w:w="320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Standard ML-DSA signatures via CIRCL over the ledger. Proprietary (not published). </w:t>
            </w:r>
            <w:r>
              <w:rPr>
                <w:rFonts w:ascii="Calibri" w:cs="Calibri" w:eastAsia="Calibri" w:hAnsi="Calibri"/>
                <w:b w:val="false"/>
                <w:bCs w:val="false"/>
                <w:i/>
                <w:iCs/>
                <w:color w:val="000000"/>
                <w:sz w:val="18"/>
                <w:szCs w:val="18"/>
              </w:rPr>
              <w:t xml:space="preserve">[Confirm KDF usage.]</w:t>
            </w:r>
          </w:p>
        </w:tc>
      </w:tr>
      <w:tr>
        <w:trPr>
          <w:tblHeader w:val="false"/>
        </w:trPr>
        <w:tc>
          <w:tcPr>
            <w:tcW w:type="dxa" w:w="205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Orchestration engine (ASAF / “Stargate”)</w:t>
            </w:r>
          </w:p>
        </w:tc>
        <w:tc>
          <w:tcPr>
            <w:tcW w:type="dxa" w:w="125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In development (CLI production-grade)</w:t>
            </w:r>
          </w:p>
        </w:tc>
        <w:tc>
          <w:tcPr>
            <w:tcW w:type="dxa" w:w="286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Graph-based compliance automation and evidence packaging.</w:t>
            </w:r>
          </w:p>
        </w:tc>
        <w:tc>
          <w:tcPr>
            <w:tcW w:type="dxa" w:w="3200"/>
            <w:tcMar>
              <w:top w:type="dxa" w:w="60"/>
              <w:left w:type="dxa" w:w="90"/>
              <w:bottom w:type="dxa" w:w="60"/>
              <w:right w:type="dxa" w:w="90"/>
            </w:tcMar>
          </w:tcPr>
          <w:p>
            <w:pPr>
              <w:spacing w:line="250"/>
            </w:pPr>
            <w:r>
              <w:rPr>
                <w:rFonts w:ascii="Calibri" w:cs="Calibri" w:eastAsia="Calibri" w:hAnsi="Calibri"/>
                <w:b w:val="false"/>
                <w:bCs w:val="false"/>
                <w:i w:val="false"/>
                <w:iCs w:val="false"/>
                <w:color w:val="000000"/>
                <w:sz w:val="18"/>
                <w:szCs w:val="18"/>
              </w:rPr>
              <w:t xml:space="preserve">Proprietary (not published). </w:t>
            </w:r>
            <w:r>
              <w:rPr>
                <w:rFonts w:ascii="Calibri" w:cs="Calibri" w:eastAsia="Calibri" w:hAnsi="Calibri"/>
                <w:b w:val="false"/>
                <w:bCs w:val="false"/>
                <w:i/>
                <w:iCs/>
                <w:color w:val="000000"/>
                <w:sz w:val="18"/>
                <w:szCs w:val="18"/>
              </w:rPr>
              <w:t xml:space="preserve">[Confirm exact cryptographic surface and KDF usage.]</w:t>
            </w:r>
          </w:p>
        </w:tc>
      </w:tr>
    </w:tbl>
    <w:p>
      <w:pPr>
        <w:spacing w:after="100" w:before="80" w:line="270"/>
      </w:pPr>
      <w:r>
        <w:rPr>
          <w:rFonts w:ascii="Calibri" w:cs="Calibri" w:eastAsia="Calibri" w:hAnsi="Calibri"/>
          <w:b/>
          <w:bCs/>
          <w:i w:val="false"/>
          <w:iCs w:val="false"/>
          <w:color w:val="000000"/>
          <w:sz w:val="19"/>
          <w:szCs w:val="19"/>
        </w:rPr>
        <w:t xml:space="preserve">None of the shipped components implement the military / SATCOM / PKI applications described in the patent claims </w:t>
      </w:r>
      <w:r>
        <w:rPr>
          <w:rFonts w:ascii="Calibri" w:cs="Calibri" w:eastAsia="Calibri" w:hAnsi="Calibri"/>
          <w:b/>
          <w:bCs/>
          <w:i w:val="false"/>
          <w:iCs w:val="false"/>
          <w:color w:val="000000"/>
          <w:sz w:val="19"/>
          <w:szCs w:val="19"/>
        </w:rPr>
        <w:t xml:space="preserve">(see Section 5). Those applications exist only as patent claims, not as products.</w:t>
      </w:r>
    </w:p>
    <w:p>
      <w:pPr>
        <w:spacing w:after="100" w:before="80" w:line="270"/>
      </w:pPr>
      <w:r>
        <w:rPr>
          <w:rFonts w:ascii="Calibri" w:cs="Calibri" w:eastAsia="Calibri" w:hAnsi="Calibri"/>
          <w:b w:val="false"/>
          <w:bCs w:val="false"/>
          <w:i/>
          <w:iCs/>
          <w:color w:val="000000"/>
          <w:sz w:val="19"/>
          <w:szCs w:val="19"/>
        </w:rPr>
        <w:t xml:space="preserve">The single proprietary element at issue for classification is the symbol-parameterized key-derivation layer (Section 3). Our engineering will confirm precisely which shipped components invoke it versus calling only the standard CIRCL primitives.</w:t>
      </w:r>
    </w:p>
    <w:p>
      <w:r>
        <w:br w:type="page"/>
      </w:r>
    </w:p>
    <w:p>
      <w:pPr>
        <w:spacing w:after="70" w:before="220"/>
      </w:pPr>
      <w:r>
        <w:rPr>
          <w:rFonts w:ascii="Calibri" w:cs="Calibri" w:eastAsia="Calibri" w:hAnsi="Calibri"/>
          <w:b/>
          <w:bCs/>
          <w:color w:val="1F3864"/>
          <w:sz w:val="23"/>
          <w:szCs w:val="23"/>
        </w:rPr>
        <w:t xml:space="preserve">5.  Military / Defense Applications Stated in the Patent (the crux)</w:t>
      </w:r>
    </w:p>
    <w:p>
      <w:pPr>
        <w:spacing w:after="120" w:line="280"/>
        <w:jc w:val="both"/>
      </w:pPr>
      <w:r>
        <w:rPr>
          <w:rFonts w:ascii="Calibri" w:cs="Calibri" w:eastAsia="Calibri" w:hAnsi="Calibri"/>
          <w:b w:val="false"/>
          <w:bCs w:val="false"/>
          <w:i w:val="false"/>
          <w:iCs w:val="false"/>
          <w:color w:val="000000"/>
          <w:sz w:val="21"/>
          <w:szCs w:val="21"/>
        </w:rPr>
        <w:t xml:space="preserve">USPTO provisional application 73565085. The application itself frames the invention around defense/military use. Specifically:</w:t>
      </w:r>
    </w:p>
    <w:p>
      <w:pPr>
        <w:pStyle w:val="ListParagraph"/>
        <w:numPr>
          <w:ilvl w:val="0"/>
          <w:numId w:val="1"/>
        </w:numPr>
        <w:spacing w:after="70" w:line="276"/>
      </w:pPr>
      <w:r>
        <w:rPr>
          <w:rFonts w:ascii="Calibri" w:cs="Calibri" w:eastAsia="Calibri" w:hAnsi="Calibri"/>
          <w:b/>
          <w:bCs/>
          <w:i w:val="false"/>
          <w:iCs w:val="false"/>
          <w:sz w:val="21"/>
          <w:szCs w:val="21"/>
        </w:rPr>
        <w:t xml:space="preserve">Field of the Invention </w:t>
      </w:r>
      <w:r>
        <w:rPr>
          <w:rFonts w:ascii="Calibri" w:cs="Calibri" w:eastAsia="Calibri" w:hAnsi="Calibri"/>
          <w:b w:val="false"/>
          <w:bCs w:val="false"/>
          <w:i w:val="false"/>
          <w:iCs w:val="false"/>
          <w:sz w:val="21"/>
          <w:szCs w:val="21"/>
        </w:rPr>
        <w:t xml:space="preserve">lists intended applications: “Department of Defense (DoD) classified networks,” “Satellite communication systems (LEO/GEO),” “Industrial control systems (SCADA, ICS, OT),” and “autonomous vehicle fleets and swarm robotics.”</w:t>
      </w:r>
    </w:p>
    <w:p>
      <w:pPr>
        <w:pStyle w:val="ListParagraph"/>
        <w:numPr>
          <w:ilvl w:val="0"/>
          <w:numId w:val="1"/>
        </w:numPr>
        <w:spacing w:after="70" w:line="276"/>
      </w:pPr>
      <w:r>
        <w:rPr>
          <w:rFonts w:ascii="Calibri" w:cs="Calibri" w:eastAsia="Calibri" w:hAnsi="Calibri"/>
          <w:b/>
          <w:bCs/>
          <w:i w:val="false"/>
          <w:iCs w:val="false"/>
          <w:sz w:val="21"/>
          <w:szCs w:val="21"/>
        </w:rPr>
        <w:t xml:space="preserve">FIG. 9 </w:t>
      </w:r>
      <w:r>
        <w:rPr>
          <w:rFonts w:ascii="Calibri" w:cs="Calibri" w:eastAsia="Calibri" w:hAnsi="Calibri"/>
          <w:b w:val="false"/>
          <w:bCs w:val="false"/>
          <w:i w:val="false"/>
          <w:iCs w:val="false"/>
          <w:sz w:val="21"/>
          <w:szCs w:val="21"/>
        </w:rPr>
        <w:t xml:space="preserve">depicts “SATCOM Adaptive Rekeying and Station Keeping.”</w:t>
      </w:r>
    </w:p>
    <w:p>
      <w:pPr>
        <w:pStyle w:val="ListParagraph"/>
        <w:numPr>
          <w:ilvl w:val="0"/>
          <w:numId w:val="1"/>
        </w:numPr>
        <w:spacing w:after="70" w:line="276"/>
      </w:pPr>
      <w:r>
        <w:rPr>
          <w:rFonts w:ascii="Calibri" w:cs="Calibri" w:eastAsia="Calibri" w:hAnsi="Calibri"/>
          <w:b/>
          <w:bCs/>
          <w:i w:val="false"/>
          <w:iCs w:val="false"/>
          <w:sz w:val="21"/>
          <w:szCs w:val="21"/>
        </w:rPr>
        <w:t xml:space="preserve">Claim 11 (dependent) </w:t>
      </w:r>
      <w:r>
        <w:rPr>
          <w:rFonts w:ascii="Calibri" w:cs="Calibri" w:eastAsia="Calibri" w:hAnsi="Calibri"/>
          <w:b w:val="false"/>
          <w:bCs w:val="false"/>
          <w:i w:val="false"/>
          <w:iCs w:val="false"/>
          <w:sz w:val="21"/>
          <w:szCs w:val="21"/>
        </w:rPr>
        <w:t xml:space="preserve">recites a method “wherein SATCOM links require hybrid PQC.”</w:t>
      </w:r>
    </w:p>
    <w:p>
      <w:pPr>
        <w:pStyle w:val="ListParagraph"/>
        <w:numPr>
          <w:ilvl w:val="0"/>
          <w:numId w:val="1"/>
        </w:numPr>
        <w:spacing w:after="70" w:line="276"/>
      </w:pPr>
      <w:r>
        <w:rPr>
          <w:rFonts w:ascii="Calibri" w:cs="Calibri" w:eastAsia="Calibri" w:hAnsi="Calibri"/>
          <w:b/>
          <w:bCs/>
          <w:i w:val="false"/>
          <w:iCs w:val="false"/>
          <w:sz w:val="21"/>
          <w:szCs w:val="21"/>
        </w:rPr>
        <w:t xml:space="preserve">Background </w:t>
      </w:r>
      <w:r>
        <w:rPr>
          <w:rFonts w:ascii="Calibri" w:cs="Calibri" w:eastAsia="Calibri" w:hAnsi="Calibri"/>
          <w:b w:val="false"/>
          <w:bCs w:val="false"/>
          <w:i w:val="false"/>
          <w:iCs w:val="false"/>
          <w:sz w:val="21"/>
          <w:szCs w:val="21"/>
        </w:rPr>
        <w:t xml:space="preserve">references DoD PKI and mission-critical / adversarial environments throughout.</w:t>
      </w:r>
    </w:p>
    <w:p>
      <w:pPr>
        <w:spacing w:after="120" w:line="280"/>
        <w:jc w:val="both"/>
      </w:pPr>
      <w:r>
        <w:rPr>
          <w:rFonts w:ascii="Calibri" w:cs="Calibri" w:eastAsia="Calibri" w:hAnsi="Calibri"/>
          <w:b w:val="false"/>
          <w:bCs w:val="false"/>
          <w:i w:val="false"/>
          <w:iCs w:val="false"/>
          <w:color w:val="7A1F1F"/>
          <w:sz w:val="21"/>
          <w:szCs w:val="21"/>
        </w:rPr>
        <w:t xml:space="preserve">We flag this candidly: this framing may implicate the “specially designed or developed for a military application” test that pulls encryption toward the USML/ITAR, and we want counsel’s determination rather than our own read. We do not treat the patent’s aspirational language as controlling — but we assume counsel will scrutinize it as evidence of intended use and design history.</w:t>
      </w:r>
    </w:p>
    <w:p>
      <w:pPr>
        <w:spacing w:after="70" w:before="220"/>
      </w:pPr>
      <w:r>
        <w:rPr>
          <w:rFonts w:ascii="Calibri" w:cs="Calibri" w:eastAsia="Calibri" w:hAnsi="Calibri"/>
          <w:b/>
          <w:bCs/>
          <w:color w:val="1F3864"/>
          <w:sz w:val="23"/>
          <w:szCs w:val="23"/>
        </w:rPr>
        <w:t xml:space="preserve">6.  Open-Source / Publication Status</w:t>
      </w:r>
    </w:p>
    <w:p>
      <w:pPr>
        <w:spacing w:after="120" w:line="280"/>
        <w:jc w:val="both"/>
      </w:pPr>
      <w:r>
        <w:rPr>
          <w:rFonts w:ascii="Calibri" w:cs="Calibri" w:eastAsia="Calibri" w:hAnsi="Calibri"/>
          <w:b w:val="false"/>
          <w:bCs w:val="false"/>
          <w:i w:val="false"/>
          <w:iCs w:val="false"/>
          <w:color w:val="000000"/>
          <w:sz w:val="21"/>
          <w:szCs w:val="21"/>
        </w:rPr>
        <w:t xml:space="preserve">One component (a community-tier scanner) is published as open-source in a public repository with no access controls. Other components and the underlying proprietary key-derivation method are not published. We need to understand how publication affects the analysis, and any notification obligations it triggers — bearing in mind the proprietary layer described in Section 3.</w:t>
      </w:r>
    </w:p>
    <w:p>
      <w:pPr>
        <w:spacing w:after="70" w:before="220"/>
      </w:pPr>
      <w:r>
        <w:rPr>
          <w:rFonts w:ascii="Calibri" w:cs="Calibri" w:eastAsia="Calibri" w:hAnsi="Calibri"/>
          <w:b/>
          <w:bCs/>
          <w:color w:val="1F3864"/>
          <w:sz w:val="23"/>
          <w:szCs w:val="23"/>
        </w:rPr>
        <w:t xml:space="preserve">7.  The Proposed Transaction &amp; End-User</w:t>
      </w:r>
    </w:p>
    <w:p>
      <w:pPr>
        <w:pStyle w:val="ListParagraph"/>
        <w:numPr>
          <w:ilvl w:val="0"/>
          <w:numId w:val="1"/>
        </w:numPr>
        <w:spacing w:after="70" w:line="276"/>
      </w:pPr>
      <w:r>
        <w:rPr>
          <w:rFonts w:ascii="Calibri" w:cs="Calibri" w:eastAsia="Calibri" w:hAnsi="Calibri"/>
          <w:b/>
          <w:bCs/>
          <w:i w:val="false"/>
          <w:iCs w:val="false"/>
          <w:sz w:val="21"/>
          <w:szCs w:val="21"/>
        </w:rPr>
        <w:t xml:space="preserve">End-user: </w:t>
      </w:r>
      <w:r>
        <w:rPr>
          <w:rFonts w:ascii="Calibri" w:cs="Calibri" w:eastAsia="Calibri" w:hAnsi="Calibri"/>
          <w:b w:val="false"/>
          <w:bCs w:val="false"/>
          <w:i w:val="false"/>
          <w:iCs w:val="false"/>
          <w:sz w:val="21"/>
          <w:szCs w:val="21"/>
        </w:rPr>
        <w:t xml:space="preserve">EDGE Group — an Abu Dhabi, UAE state-owned defense and technology conglomerate.</w:t>
      </w:r>
    </w:p>
    <w:p>
      <w:pPr>
        <w:pStyle w:val="ListParagraph"/>
        <w:numPr>
          <w:ilvl w:val="0"/>
          <w:numId w:val="1"/>
        </w:numPr>
        <w:spacing w:after="70" w:line="276"/>
      </w:pPr>
      <w:r>
        <w:rPr>
          <w:rFonts w:ascii="Calibri" w:cs="Calibri" w:eastAsia="Calibri" w:hAnsi="Calibri"/>
          <w:b/>
          <w:bCs/>
          <w:i w:val="false"/>
          <w:iCs w:val="false"/>
          <w:sz w:val="21"/>
          <w:szCs w:val="21"/>
        </w:rPr>
        <w:t xml:space="preserve">Status of contact: </w:t>
      </w:r>
      <w:r>
        <w:rPr>
          <w:rFonts w:ascii="Calibri" w:cs="Calibri" w:eastAsia="Calibri" w:hAnsi="Calibri"/>
          <w:b w:val="false"/>
          <w:bCs w:val="false"/>
          <w:i w:val="false"/>
          <w:iCs w:val="false"/>
          <w:sz w:val="21"/>
          <w:szCs w:val="21"/>
        </w:rPr>
        <w:t xml:space="preserve">introduced via an advisor to an EDGE HR contact, who requested a proposal to assess fit. Only a high-level, non-technical capability brief has been prepared.</w:t>
      </w:r>
    </w:p>
    <w:p>
      <w:pPr>
        <w:pStyle w:val="ListParagraph"/>
        <w:numPr>
          <w:ilvl w:val="0"/>
          <w:numId w:val="1"/>
        </w:numPr>
        <w:spacing w:after="70" w:line="276"/>
      </w:pPr>
      <w:r>
        <w:rPr>
          <w:rFonts w:ascii="Calibri" w:cs="Calibri" w:eastAsia="Calibri" w:hAnsi="Calibri"/>
          <w:b/>
          <w:bCs/>
          <w:i w:val="false"/>
          <w:iCs w:val="false"/>
          <w:sz w:val="21"/>
          <w:szCs w:val="21"/>
        </w:rPr>
        <w:t xml:space="preserve">Engagement models contemplated: </w:t>
      </w:r>
      <w:r>
        <w:rPr>
          <w:rFonts w:ascii="Calibri" w:cs="Calibri" w:eastAsia="Calibri" w:hAnsi="Calibri"/>
          <w:b w:val="false"/>
          <w:bCs w:val="false"/>
          <w:i w:val="false"/>
          <w:iCs w:val="false"/>
          <w:sz w:val="21"/>
          <w:szCs w:val="21"/>
        </w:rPr>
        <w:t xml:space="preserve">evaluation pilot, OEM / white-label embedding, and/or co-development — any of which could later involve transferring technical material or providing hands-on integration assistance.</w:t>
      </w:r>
    </w:p>
    <w:p>
      <w:pPr>
        <w:pStyle w:val="ListParagraph"/>
        <w:numPr>
          <w:ilvl w:val="0"/>
          <w:numId w:val="1"/>
        </w:numPr>
        <w:spacing w:after="70" w:line="276"/>
      </w:pPr>
      <w:r>
        <w:rPr>
          <w:rFonts w:ascii="Calibri" w:cs="Calibri" w:eastAsia="Calibri" w:hAnsi="Calibri"/>
          <w:b/>
          <w:bCs/>
          <w:i w:val="false"/>
          <w:iCs w:val="false"/>
          <w:sz w:val="21"/>
          <w:szCs w:val="21"/>
        </w:rPr>
        <w:t xml:space="preserve">Country context: </w:t>
      </w:r>
      <w:r>
        <w:rPr>
          <w:rFonts w:ascii="Calibri" w:cs="Calibri" w:eastAsia="Calibri" w:hAnsi="Calibri"/>
          <w:b w:val="false"/>
          <w:bCs w:val="false"/>
          <w:i w:val="false"/>
          <w:iCs w:val="false"/>
          <w:sz w:val="21"/>
          <w:szCs w:val="21"/>
        </w:rPr>
        <w:t xml:space="preserve">the UAE is a designated U.S. Major Defense Partner and is not embargoed; the end-user is, however, a state-owned military entity. UAE military-licensing authority does not remove U.S. export-control obligations over U.S.-origin items.</w:t>
      </w:r>
    </w:p>
    <w:p>
      <w:pPr>
        <w:spacing w:after="70" w:before="220"/>
      </w:pPr>
      <w:r>
        <w:rPr>
          <w:rFonts w:ascii="Calibri" w:cs="Calibri" w:eastAsia="Calibri" w:hAnsi="Calibri"/>
          <w:b/>
          <w:bCs/>
          <w:color w:val="1F3864"/>
          <w:sz w:val="23"/>
          <w:szCs w:val="23"/>
        </w:rPr>
        <w:t xml:space="preserve">8.  What Has and Has Not Happened</w:t>
      </w:r>
    </w:p>
    <w:p>
      <w:pPr>
        <w:pStyle w:val="ListParagraph"/>
        <w:numPr>
          <w:ilvl w:val="0"/>
          <w:numId w:val="1"/>
        </w:numPr>
        <w:spacing w:after="70" w:line="276"/>
      </w:pPr>
      <w:r>
        <w:rPr>
          <w:rFonts w:ascii="Calibri" w:cs="Calibri" w:eastAsia="Calibri" w:hAnsi="Calibri"/>
          <w:b/>
          <w:bCs/>
          <w:i w:val="false"/>
          <w:iCs w:val="false"/>
          <w:sz w:val="21"/>
          <w:szCs w:val="21"/>
        </w:rPr>
        <w:t xml:space="preserve">Has: </w:t>
      </w:r>
      <w:r>
        <w:rPr>
          <w:rFonts w:ascii="Calibri" w:cs="Calibri" w:eastAsia="Calibri" w:hAnsi="Calibri"/>
          <w:b w:val="false"/>
          <w:bCs w:val="false"/>
          <w:i w:val="false"/>
          <w:iCs w:val="false"/>
          <w:sz w:val="21"/>
          <w:szCs w:val="21"/>
        </w:rPr>
        <w:t xml:space="preserve">a high-level business capability overview (no source, no design detail, no controlled technical data) prepared for possible sharing.</w:t>
      </w:r>
    </w:p>
    <w:p>
      <w:pPr>
        <w:pStyle w:val="ListParagraph"/>
        <w:numPr>
          <w:ilvl w:val="0"/>
          <w:numId w:val="1"/>
        </w:numPr>
        <w:spacing w:after="70" w:line="276"/>
      </w:pPr>
      <w:r>
        <w:rPr>
          <w:rFonts w:ascii="Calibri" w:cs="Calibri" w:eastAsia="Calibri" w:hAnsi="Calibri"/>
          <w:b/>
          <w:bCs/>
          <w:i w:val="false"/>
          <w:iCs w:val="false"/>
          <w:sz w:val="21"/>
          <w:szCs w:val="21"/>
        </w:rPr>
        <w:t xml:space="preserve">Has not: </w:t>
      </w:r>
      <w:r>
        <w:rPr>
          <w:rFonts w:ascii="Calibri" w:cs="Calibri" w:eastAsia="Calibri" w:hAnsi="Calibri"/>
          <w:b w:val="false"/>
          <w:bCs w:val="false"/>
          <w:i w:val="false"/>
          <w:iCs w:val="false"/>
          <w:sz w:val="21"/>
          <w:szCs w:val="21"/>
        </w:rPr>
        <w:t xml:space="preserve">no technical data, source, or design material shared with EDGE; no classification obtained; no license or license-exception filing made; no technical assistance provided.</w:t>
      </w:r>
    </w:p>
    <w:p>
      <w:pPr>
        <w:spacing w:after="70" w:before="220"/>
      </w:pPr>
      <w:r>
        <w:rPr>
          <w:rFonts w:ascii="Calibri" w:cs="Calibri" w:eastAsia="Calibri" w:hAnsi="Calibri"/>
          <w:b/>
          <w:bCs/>
          <w:color w:val="1F3864"/>
          <w:sz w:val="23"/>
          <w:szCs w:val="23"/>
        </w:rPr>
        <w:t xml:space="preserve">9.  Specific Questions for Counsel</w:t>
      </w:r>
    </w:p>
    <w:p>
      <w:pPr>
        <w:pStyle w:val="ListParagraph"/>
        <w:numPr>
          <w:ilvl w:val="0"/>
          <w:numId w:val="2"/>
        </w:numPr>
        <w:spacing w:after="90" w:line="280"/>
      </w:pPr>
      <w:r>
        <w:rPr>
          <w:rFonts w:ascii="Calibri" w:cs="Calibri" w:eastAsia="Calibri" w:hAnsi="Calibri"/>
          <w:b/>
          <w:bCs/>
          <w:sz w:val="21"/>
          <w:szCs w:val="21"/>
        </w:rPr>
        <w:t xml:space="preserve">Jurisdiction: </w:t>
      </w:r>
      <w:r>
        <w:rPr>
          <w:rFonts w:ascii="Calibri" w:cs="Calibri" w:eastAsia="Calibri" w:hAnsi="Calibri"/>
          <w:b w:val="false"/>
          <w:bCs w:val="false"/>
          <w:sz w:val="21"/>
          <w:szCs w:val="21"/>
        </w:rPr>
        <w:t xml:space="preserve">Is the technology (as shipped, and as claimed) subject to ITAR (USML) or EAR (CCL, likely Category 5 Part 2)? Given the patent’s stated military/SATCOM/classified-network applications, is a formal Commodity Jurisdiction (CJ) request advisable, or can this be resolved by EAR self-classification?</w:t>
      </w:r>
    </w:p>
    <w:p>
      <w:pPr>
        <w:pStyle w:val="ListParagraph"/>
        <w:numPr>
          <w:ilvl w:val="0"/>
          <w:numId w:val="2"/>
        </w:numPr>
        <w:spacing w:after="90" w:line="280"/>
      </w:pPr>
      <w:r>
        <w:rPr>
          <w:rFonts w:ascii="Calibri" w:cs="Calibri" w:eastAsia="Calibri" w:hAnsi="Calibri"/>
          <w:b/>
          <w:bCs/>
          <w:sz w:val="21"/>
          <w:szCs w:val="21"/>
        </w:rPr>
        <w:t xml:space="preserve">Product vs. claim: </w:t>
      </w:r>
      <w:r>
        <w:rPr>
          <w:rFonts w:ascii="Calibri" w:cs="Calibri" w:eastAsia="Calibri" w:hAnsi="Calibri"/>
          <w:b w:val="false"/>
          <w:bCs w:val="false"/>
          <w:sz w:val="21"/>
          <w:szCs w:val="21"/>
        </w:rPr>
        <w:t xml:space="preserve">Does classification attach to the shipped commercial products (Section 4) or to the broader patent-claimed design intent? Do the patent’s military applications affect the classification of the commercial products that don’t implement them?</w:t>
      </w:r>
    </w:p>
    <w:p>
      <w:pPr>
        <w:pStyle w:val="ListParagraph"/>
        <w:numPr>
          <w:ilvl w:val="0"/>
          <w:numId w:val="2"/>
        </w:numPr>
        <w:spacing w:after="90" w:line="280"/>
      </w:pPr>
      <w:r>
        <w:rPr>
          <w:rFonts w:ascii="Calibri" w:cs="Calibri" w:eastAsia="Calibri" w:hAnsi="Calibri"/>
          <w:b/>
          <w:bCs/>
          <w:sz w:val="21"/>
          <w:szCs w:val="21"/>
        </w:rPr>
        <w:t xml:space="preserve">Standard vs. non-standard cryptography: </w:t>
      </w:r>
      <w:r>
        <w:rPr>
          <w:rFonts w:ascii="Calibri" w:cs="Calibri" w:eastAsia="Calibri" w:hAnsi="Calibri"/>
          <w:b w:val="false"/>
          <w:bCs w:val="false"/>
          <w:sz w:val="21"/>
          <w:szCs w:val="21"/>
        </w:rPr>
        <w:t xml:space="preserve">The product calls standard NIST primitives (ML-KEM/ML-DSA) via open-source Cloudflare CIRCL, but adds a proprietary, patented symbol-parameterized key-derivation layer (Adinkra descriptors) not found in any published library. Does that proprietary layer constitute “non-standard cryptography” under the EAR, and how does that affect classification, ECCN, and any reporting obligations?</w:t>
      </w:r>
    </w:p>
    <w:p>
      <w:pPr>
        <w:pStyle w:val="ListParagraph"/>
        <w:numPr>
          <w:ilvl w:val="0"/>
          <w:numId w:val="2"/>
        </w:numPr>
        <w:spacing w:after="90" w:line="280"/>
      </w:pPr>
      <w:r>
        <w:rPr>
          <w:rFonts w:ascii="Calibri" w:cs="Calibri" w:eastAsia="Calibri" w:hAnsi="Calibri"/>
          <w:b/>
          <w:bCs/>
          <w:sz w:val="21"/>
          <w:szCs w:val="21"/>
        </w:rPr>
        <w:t xml:space="preserve">ECCN &amp; filings: </w:t>
      </w:r>
      <w:r>
        <w:rPr>
          <w:rFonts w:ascii="Calibri" w:cs="Calibri" w:eastAsia="Calibri" w:hAnsi="Calibri"/>
          <w:b w:val="false"/>
          <w:bCs w:val="false"/>
          <w:sz w:val="21"/>
          <w:szCs w:val="21"/>
        </w:rPr>
        <w:t xml:space="preserve">If EAR, what is the likely ECCN (e.g., 5A002/5D002/5E002 vs. mass-market 5A992/5D992)? What self-classification report and/or License Exception ENC filings with BIS are required, and for which components?</w:t>
      </w:r>
    </w:p>
    <w:p>
      <w:pPr>
        <w:pStyle w:val="ListParagraph"/>
        <w:numPr>
          <w:ilvl w:val="0"/>
          <w:numId w:val="2"/>
        </w:numPr>
        <w:spacing w:after="90" w:line="280"/>
      </w:pPr>
      <w:r>
        <w:rPr>
          <w:rFonts w:ascii="Calibri" w:cs="Calibri" w:eastAsia="Calibri" w:hAnsi="Calibri"/>
          <w:b/>
          <w:bCs/>
          <w:sz w:val="21"/>
          <w:szCs w:val="21"/>
        </w:rPr>
        <w:t xml:space="preserve">Open source: </w:t>
      </w:r>
      <w:r>
        <w:rPr>
          <w:rFonts w:ascii="Calibri" w:cs="Calibri" w:eastAsia="Calibri" w:hAnsi="Calibri"/>
          <w:b w:val="false"/>
          <w:bCs w:val="false"/>
          <w:sz w:val="21"/>
          <w:szCs w:val="21"/>
        </w:rPr>
        <w:t xml:space="preserve">Does the published community-tier component qualify as published encryption source code, and what BIS/NSA notification (if any) applies given the proprietary layer? Does publication change the analysis for the remaining proprietary components?</w:t>
      </w:r>
    </w:p>
    <w:p>
      <w:pPr>
        <w:pStyle w:val="ListParagraph"/>
        <w:numPr>
          <w:ilvl w:val="0"/>
          <w:numId w:val="2"/>
        </w:numPr>
        <w:spacing w:after="90" w:line="280"/>
      </w:pPr>
      <w:r>
        <w:rPr>
          <w:rFonts w:ascii="Calibri" w:cs="Calibri" w:eastAsia="Calibri" w:hAnsi="Calibri"/>
          <w:b/>
          <w:bCs/>
          <w:sz w:val="21"/>
          <w:szCs w:val="21"/>
        </w:rPr>
        <w:t xml:space="preserve">End-user / licensing: </w:t>
      </w:r>
      <w:r>
        <w:rPr>
          <w:rFonts w:ascii="Calibri" w:cs="Calibri" w:eastAsia="Calibri" w:hAnsi="Calibri"/>
          <w:b w:val="false"/>
          <w:bCs w:val="false"/>
          <w:sz w:val="21"/>
          <w:szCs w:val="21"/>
        </w:rPr>
        <w:t xml:space="preserve">For a UAE state-owned defense end-user, what license or license-exception path applies? Does the state-owned military nature raise end-use/end-user or reexport concerns despite the UAE’s Major Defense Partner status?</w:t>
      </w:r>
    </w:p>
    <w:p>
      <w:pPr>
        <w:pStyle w:val="ListParagraph"/>
        <w:numPr>
          <w:ilvl w:val="0"/>
          <w:numId w:val="2"/>
        </w:numPr>
        <w:spacing w:after="90" w:line="280"/>
      </w:pPr>
      <w:r>
        <w:rPr>
          <w:rFonts w:ascii="Calibri" w:cs="Calibri" w:eastAsia="Calibri" w:hAnsi="Calibri"/>
          <w:b/>
          <w:bCs/>
          <w:sz w:val="21"/>
          <w:szCs w:val="21"/>
        </w:rPr>
        <w:t xml:space="preserve">Technical assistance: </w:t>
      </w:r>
      <w:r>
        <w:rPr>
          <w:rFonts w:ascii="Calibri" w:cs="Calibri" w:eastAsia="Calibri" w:hAnsi="Calibri"/>
          <w:b w:val="false"/>
          <w:bCs w:val="false"/>
          <w:sz w:val="21"/>
          <w:szCs w:val="21"/>
        </w:rPr>
        <w:t xml:space="preserve">Would consulting, instruction, or integration help to EDGE personnel on deploying the technology constitute controlled technical assistance to foreign persons regarding strong encryption, requiring separate authorization independent of the software’s classification?</w:t>
      </w:r>
    </w:p>
    <w:p>
      <w:pPr>
        <w:pStyle w:val="ListParagraph"/>
        <w:numPr>
          <w:ilvl w:val="0"/>
          <w:numId w:val="2"/>
        </w:numPr>
        <w:spacing w:after="90" w:line="280"/>
      </w:pPr>
      <w:r>
        <w:rPr>
          <w:rFonts w:ascii="Calibri" w:cs="Calibri" w:eastAsia="Calibri" w:hAnsi="Calibri"/>
          <w:b/>
          <w:bCs/>
          <w:sz w:val="21"/>
          <w:szCs w:val="21"/>
        </w:rPr>
        <w:t xml:space="preserve">Deemed exports / advisors: </w:t>
      </w:r>
      <w:r>
        <w:rPr>
          <w:rFonts w:ascii="Calibri" w:cs="Calibri" w:eastAsia="Calibri" w:hAnsi="Calibri"/>
          <w:b w:val="false"/>
          <w:bCs w:val="false"/>
          <w:sz w:val="21"/>
          <w:szCs w:val="21"/>
        </w:rPr>
        <w:t xml:space="preserve">If we engage foreign-person advisors or contractors (including UAE-based), do deemed-export rules apply to sharing technology with them?</w:t>
      </w:r>
    </w:p>
    <w:p>
      <w:pPr>
        <w:pStyle w:val="ListParagraph"/>
        <w:numPr>
          <w:ilvl w:val="0"/>
          <w:numId w:val="2"/>
        </w:numPr>
        <w:spacing w:after="90" w:line="280"/>
      </w:pPr>
      <w:r>
        <w:rPr>
          <w:rFonts w:ascii="Calibri" w:cs="Calibri" w:eastAsia="Calibri" w:hAnsi="Calibri"/>
          <w:b/>
          <w:bCs/>
          <w:sz w:val="21"/>
          <w:szCs w:val="21"/>
        </w:rPr>
        <w:t xml:space="preserve">Path, timeline, cost: </w:t>
      </w:r>
      <w:r>
        <w:rPr>
          <w:rFonts w:ascii="Calibri" w:cs="Calibri" w:eastAsia="Calibri" w:hAnsi="Calibri"/>
          <w:b w:val="false"/>
          <w:bCs w:val="false"/>
          <w:sz w:val="21"/>
          <w:szCs w:val="21"/>
        </w:rPr>
        <w:t xml:space="preserve">Recommended sequence and rough cost/time to (a) obtain a defensible classification and (b) secure any authorization needed before technical engagement with EDGE.</w:t>
      </w:r>
    </w:p>
    <w:p>
      <w:pPr>
        <w:spacing w:after="70" w:before="220"/>
      </w:pPr>
      <w:r>
        <w:rPr>
          <w:rFonts w:ascii="Calibri" w:cs="Calibri" w:eastAsia="Calibri" w:hAnsi="Calibri"/>
          <w:b/>
          <w:bCs/>
          <w:color w:val="1F3864"/>
          <w:sz w:val="23"/>
          <w:szCs w:val="23"/>
        </w:rPr>
        <w:t xml:space="preserve">10.  Documents Available on Request</w:t>
      </w:r>
    </w:p>
    <w:p>
      <w:pPr>
        <w:pStyle w:val="ListParagraph"/>
        <w:numPr>
          <w:ilvl w:val="0"/>
          <w:numId w:val="1"/>
        </w:numPr>
        <w:spacing w:after="70" w:line="276"/>
      </w:pPr>
      <w:r>
        <w:rPr>
          <w:rFonts w:ascii="Calibri" w:cs="Calibri" w:eastAsia="Calibri" w:hAnsi="Calibri"/>
          <w:b w:val="false"/>
          <w:bCs w:val="false"/>
          <w:i w:val="false"/>
          <w:iCs w:val="false"/>
          <w:sz w:val="21"/>
          <w:szCs w:val="21"/>
        </w:rPr>
        <w:t xml:space="preserve">USPTO Provisional Patent Application 73565085 (full technical disclosure).</w:t>
      </w:r>
    </w:p>
    <w:p>
      <w:pPr>
        <w:pStyle w:val="ListParagraph"/>
        <w:numPr>
          <w:ilvl w:val="0"/>
          <w:numId w:val="1"/>
        </w:numPr>
        <w:spacing w:after="70" w:line="276"/>
      </w:pPr>
      <w:r>
        <w:rPr>
          <w:rFonts w:ascii="Calibri" w:cs="Calibri" w:eastAsia="Calibri" w:hAnsi="Calibri"/>
          <w:b w:val="false"/>
          <w:bCs w:val="false"/>
          <w:i w:val="false"/>
          <w:iCs w:val="false"/>
          <w:sz w:val="21"/>
          <w:szCs w:val="21"/>
        </w:rPr>
        <w:t xml:space="preserve">Product descriptions and current maturity status for each component (Section 4).</w:t>
      </w:r>
    </w:p>
    <w:p>
      <w:pPr>
        <w:pStyle w:val="ListParagraph"/>
        <w:numPr>
          <w:ilvl w:val="0"/>
          <w:numId w:val="1"/>
        </w:numPr>
        <w:spacing w:after="70" w:line="276"/>
      </w:pPr>
      <w:r>
        <w:rPr>
          <w:rFonts w:ascii="Calibri" w:cs="Calibri" w:eastAsia="Calibri" w:hAnsi="Calibri"/>
          <w:b w:val="false"/>
          <w:bCs w:val="false"/>
          <w:i w:val="false"/>
          <w:iCs w:val="false"/>
          <w:sz w:val="21"/>
          <w:szCs w:val="21"/>
        </w:rPr>
        <w:t xml:space="preserve">Dependency manifest showing the Cloudflare CIRCL library and the standard NIST primitives used.</w:t>
      </w:r>
    </w:p>
    <w:p>
      <w:pPr>
        <w:pStyle w:val="ListParagraph"/>
        <w:numPr>
          <w:ilvl w:val="0"/>
          <w:numId w:val="1"/>
        </w:numPr>
        <w:spacing w:after="70" w:line="276"/>
      </w:pPr>
      <w:r>
        <w:rPr>
          <w:rFonts w:ascii="Calibri" w:cs="Calibri" w:eastAsia="Calibri" w:hAnsi="Calibri"/>
          <w:b w:val="false"/>
          <w:bCs w:val="false"/>
          <w:i w:val="false"/>
          <w:iCs w:val="false"/>
          <w:sz w:val="21"/>
          <w:szCs w:val="21"/>
        </w:rPr>
        <w:t xml:space="preserve">The high-level EDGE capability brief (the only externally-facing document prepared).</w:t>
      </w:r>
    </w:p>
    <w:p>
      <w:pPr>
        <w:pStyle w:val="ListParagraph"/>
        <w:numPr>
          <w:ilvl w:val="0"/>
          <w:numId w:val="1"/>
        </w:numPr>
        <w:spacing w:after="70" w:line="276"/>
      </w:pPr>
      <w:r>
        <w:rPr>
          <w:rFonts w:ascii="Calibri" w:cs="Calibri" w:eastAsia="Calibri" w:hAnsi="Calibri"/>
          <w:b w:val="false"/>
          <w:bCs w:val="false"/>
          <w:i w:val="false"/>
          <w:iCs w:val="false"/>
          <w:sz w:val="21"/>
          <w:szCs w:val="21"/>
        </w:rPr>
        <w:t xml:space="preserve">Link to the public community-tier repository.</w:t>
      </w:r>
    </w:p>
    <w:p>
      <w:pPr>
        <w:pBdr>
          <w:bottom w:val="single" w:color="BFBFBF" w:sz="6" w:space="1"/>
        </w:pBdr>
        <w:spacing w:after="150" w:before="100"/>
      </w:pPr>
    </w:p>
    <w:p>
      <w:pPr>
        <w:spacing w:after="80" w:line="258"/>
      </w:pPr>
      <w:r>
        <w:rPr>
          <w:rFonts w:ascii="Calibri" w:cs="Calibri" w:eastAsia="Calibri" w:hAnsi="Calibri"/>
          <w:i/>
          <w:iCs/>
          <w:color w:val="595959"/>
          <w:sz w:val="17"/>
          <w:szCs w:val="17"/>
        </w:rPr>
        <w:t xml:space="preserve">This intake brief is factual and prepared to expedite counsel’s review. It states no legal conclusions; the classification and licensing determinations are requested from counsel. Contact: [name / email / phone].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Q%1."/>
      <w:lvlJc w:val="star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Export-Control Classification — Attorney Intake Brief</dc:title>
  <dc:creator>SecRed Knowledge Inc.</dc:creator>
  <cp:lastModifiedBy>Un-named</cp:lastModifiedBy>
  <cp:revision>1</cp:revision>
  <dcterms:created xsi:type="dcterms:W3CDTF">2026-07-09T06:17:47.068Z</dcterms:created>
  <dcterms:modified xsi:type="dcterms:W3CDTF">2026-07-09T06:17:47.080Z</dcterms:modified>
</cp:coreProperties>
</file>

<file path=docProps/custom.xml><?xml version="1.0" encoding="utf-8"?>
<Properties xmlns="http://schemas.openxmlformats.org/officeDocument/2006/custom-properties" xmlns:vt="http://schemas.openxmlformats.org/officeDocument/2006/docPropsVTypes"/>
</file>