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left"/>
      </w:pPr>
      <w:r>
        <w:rPr>
          <w:b/>
          <w:bCs/>
          <w:color w:val="1F3864"/>
          <w:sz w:val="36"/>
          <w:szCs w:val="36"/>
        </w:rPr>
        <w:t xml:space="preserve">KHEPRA FOUR-LAYER ARCHITECTURE</w:t>
      </w:r>
    </w:p>
    <w:p>
      <w:pPr>
        <w:spacing w:after="60"/>
      </w:pPr>
      <w:r>
        <w:rPr>
          <w:i/>
          <w:iCs/>
          <w:color w:val="595959"/>
          <w:sz w:val="22"/>
          <w:szCs w:val="22"/>
        </w:rPr>
        <w:t xml:space="preserve">Canonical Source of Truth — Product, Positioning, Domain Mapping</w:t>
      </w:r>
    </w:p>
    <w:p>
      <w:pPr>
        <w:spacing w:after="360"/>
      </w:pPr>
      <w:r>
        <w:rPr>
          <w:b/>
          <w:bCs/>
          <w:sz w:val="20"/>
          <w:szCs w:val="20"/>
        </w:rPr>
        <w:t xml:space="preserve">Version: </w:t>
      </w:r>
      <w:r>
        <w:rPr>
          <w:sz w:val="20"/>
          <w:szCs w:val="20"/>
        </w:rPr>
        <w:t xml:space="preserve">1.0   </w:t>
      </w:r>
      <w:r>
        <w:rPr>
          <w:b/>
          <w:bCs/>
          <w:sz w:val="20"/>
          <w:szCs w:val="20"/>
        </w:rPr>
        <w:t xml:space="preserve">Date: </w:t>
      </w:r>
      <w:r>
        <w:rPr>
          <w:sz w:val="20"/>
          <w:szCs w:val="20"/>
        </w:rPr>
        <w:t xml:space="preserve">May 28, 2026   </w:t>
      </w:r>
      <w:r>
        <w:rPr>
          <w:b/>
          <w:bCs/>
          <w:sz w:val="20"/>
          <w:szCs w:val="20"/>
        </w:rPr>
        <w:t xml:space="preserve">Owner: </w:t>
      </w:r>
      <w:r>
        <w:rPr>
          <w:sz w:val="20"/>
          <w:szCs w:val="20"/>
        </w:rPr>
        <w:t xml:space="preserve">SecRed Knowledge Inc. (NouchiX)</w:t>
      </w:r>
    </w:p>
    <w:p>
      <w:pPr>
        <w:pStyle w:val="Heading1"/>
      </w:pPr>
      <w:r>
        <w:t xml:space="preserve">Executive Summary</w:t>
      </w:r>
    </w:p>
    <w:p>
      <w:pPr>
        <w:spacing w:after="120"/>
      </w:pPr>
      <w:r>
        <w:t xml:space="preserve">NouchiX (SecRed Knowledge Inc.) operates a four-layer product architecture. Each layer has a distinct role, a distinct buyer, and a distinct domain. This document is the canonical reference for that architecture. All marketing copy, sales materials, pitch decks, and partner communications derive from this document.</w:t>
      </w:r>
    </w:p>
    <w:p>
      <w:pPr>
        <w:spacing w:after="120"/>
      </w:pPr>
      <w:r>
        <w:t xml:space="preserve">The four layers, ordered from foundation to channel:</w:t>
      </w:r>
    </w:p>
    <w:p>
      <w:pPr>
        <w:pStyle w:val="ListParagraph"/>
        <w:numPr>
          <w:ilvl w:val="0"/>
          <w:numId w:val="2"/>
        </w:numPr>
        <w:spacing w:after="80"/>
      </w:pPr>
      <w:r>
        <w:rPr>
          <w:b/>
          <w:bCs/>
        </w:rPr>
        <w:t xml:space="preserve">KHEPRA Protocol</w:t>
      </w:r>
      <w:r>
        <w:t xml:space="preserve"> — The patent-pending IP foundation. Cryptographic and DAG attestation framework. USPTO #73565085. Not sold directly. The moat under everything.</w:t>
      </w:r>
    </w:p>
    <w:p>
      <w:pPr>
        <w:pStyle w:val="ListParagraph"/>
        <w:numPr>
          <w:ilvl w:val="0"/>
          <w:numId w:val="2"/>
        </w:numPr>
        <w:spacing w:after="80"/>
      </w:pPr>
      <w:r>
        <w:rPr>
          <w:b/>
          <w:bCs/>
        </w:rPr>
        <w:t xml:space="preserve">AdinKhepra ASAF</w:t>
      </w:r>
      <w:r>
        <w:t xml:space="preserve"> — The CMMC Autopilot Engine. Sovereign bare-metal deployment for DIB contractors, primes, and C3PAOs. Flat annual licensing, $25K–$250K.</w:t>
      </w:r>
    </w:p>
    <w:p>
      <w:pPr>
        <w:pStyle w:val="ListParagraph"/>
        <w:numPr>
          <w:ilvl w:val="0"/>
          <w:numId w:val="2"/>
        </w:numPr>
        <w:spacing w:after="80"/>
      </w:pPr>
      <w:r>
        <w:rPr>
          <w:b/>
          <w:bCs/>
        </w:rPr>
        <w:t xml:space="preserve">SouHimBou AI</w:t>
      </w:r>
      <w:r>
        <w:t xml:space="preserve"> — The SaaS product. AI Flight Recorder / Security Camera for agentic AI. Forensic observability for AI agent actions. Tiered subscription: $0 / $99 / $499 per month.</w:t>
      </w:r>
    </w:p>
    <w:p>
      <w:pPr>
        <w:pStyle w:val="ListParagraph"/>
        <w:numPr>
          <w:ilvl w:val="0"/>
          <w:numId w:val="2"/>
        </w:numPr>
        <w:spacing w:after="80"/>
      </w:pPr>
      <w:r>
        <w:rPr>
          <w:b/>
          <w:bCs/>
        </w:rPr>
        <w:t xml:space="preserve">PQC-MCP</w:t>
      </w:r>
      <w:r>
        <w:t xml:space="preserve"> — The agent channel. MCP server with built-in scanner and tools. Connects Claude, Cursor, GPT, and other MCP clients into either AdinKhepra ASAF or SouHimBou AI. Distributed via GHCR and the MCP Registry.</w:t>
      </w:r>
    </w:p>
    <w:p>
      <w:r>
        <w:t xml:space="preserve"/>
      </w:r>
    </w:p>
    <w:p>
      <w:pPr>
        <w:spacing w:after="120"/>
      </w:pPr>
      <w:r>
        <w:t xml:space="preserve">KHEPRA Protocol is the cryptographic and ontological foundation. AdinKhepra ASAF and SouHimBou AI are the two commercial products built on it. PQC-MCP is how AI agents reach either product. NouchiX is the company that owns and operates all of it.</w:t>
      </w:r>
    </w:p>
    <w:p>
      <w:pPr>
        <w:pStyle w:val="Heading1"/>
      </w:pPr>
      <w:r>
        <w:t xml:space="preserve">Architecture Diagram</w:t>
      </w:r>
    </w:p>
    <w:p>
      <w:pPr>
        <w:spacing w:after="120"/>
      </w:pPr>
      <w:r>
        <w:t xml:space="preserve">The stack, from top (agent-facing channel) to bottom (IP foundation):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rPr>
              <w:t xml:space="preserve">Layer 4</w:t>
            </w:r>
          </w:p>
        </w:tc>
        <w:tc>
          <w:tcPr>
            <w:tcW w:type="dxa" w:w="702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val="false"/>
                <w:bCs w:val="false"/>
              </w:rPr>
              <w:t xml:space="preserve">PQC-MCP — MCP server + scanner + tools. The channel AI agents call into.</w:t>
            </w:r>
          </w:p>
        </w:tc>
      </w:tr>
      <w:tr>
        <w:tc>
          <w:tcPr>
            <w:tcW w:type="dxa" w:w="2340"/>
            <w:tcBorders>
              <w:top w:val="single" w:color="BFBFBF" w:sz="4"/>
              <w:left w:val="single" w:color="BFBFBF" w:sz="4"/>
              <w:bottom w:val="single" w:color="BFBFBF" w:sz="4"/>
              <w:right w:val="single" w:color="BFBFBF" w:sz="4"/>
            </w:tcBorders>
            <w:shd w:fill="FFF2CC" w:val="clear"/>
            <w:tcMar>
              <w:top w:type="dxa" w:w="100"/>
              <w:left w:type="dxa" w:w="140"/>
              <w:bottom w:type="dxa" w:w="100"/>
              <w:right w:type="dxa" w:w="140"/>
            </w:tcMar>
          </w:tcPr>
          <w:p>
            <w:r>
              <w:rPr>
                <w:b/>
                <w:bCs/>
              </w:rPr>
              <w:t xml:space="preserve">Layer 3a</w:t>
            </w:r>
          </w:p>
        </w:tc>
        <w:tc>
          <w:tcPr>
            <w:tcW w:type="dxa" w:w="7020"/>
            <w:tcBorders>
              <w:top w:val="single" w:color="BFBFBF" w:sz="4"/>
              <w:left w:val="single" w:color="BFBFBF" w:sz="4"/>
              <w:bottom w:val="single" w:color="BFBFBF" w:sz="4"/>
              <w:right w:val="single" w:color="BFBFBF" w:sz="4"/>
            </w:tcBorders>
            <w:shd w:fill="FFF2CC" w:val="clear"/>
            <w:tcMar>
              <w:top w:type="dxa" w:w="100"/>
              <w:left w:type="dxa" w:w="140"/>
              <w:bottom w:type="dxa" w:w="100"/>
              <w:right w:type="dxa" w:w="140"/>
            </w:tcMar>
          </w:tcPr>
          <w:p>
            <w:r>
              <w:rPr>
                <w:b w:val="false"/>
                <w:bCs w:val="false"/>
              </w:rPr>
              <w:t xml:space="preserve">AdinKhepra ASAF — CMMC Autopilot Engine. Sovereign bare-metal. DIB / primes / C3PAOs.</w:t>
            </w:r>
          </w:p>
        </w:tc>
      </w:tr>
      <w:tr>
        <w:tc>
          <w:tcPr>
            <w:tcW w:type="dxa" w:w="234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b/>
                <w:bCs/>
              </w:rPr>
              <w:t xml:space="preserve">Layer 3b</w:t>
            </w:r>
          </w:p>
        </w:tc>
        <w:tc>
          <w:tcPr>
            <w:tcW w:type="dxa" w:w="702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b w:val="false"/>
                <w:bCs w:val="false"/>
              </w:rPr>
              <w:t xml:space="preserve">SouHimBou AI — SaaS. AI Flight Recorder / Security Camera. SMB / developers / startup CTOs.</w:t>
            </w:r>
          </w:p>
        </w:tc>
      </w:tr>
      <w:tr>
        <w:tc>
          <w:tcPr>
            <w:tcW w:type="dxa" w:w="2340"/>
            <w:tcBorders>
              <w:top w:val="single" w:color="BFBFBF" w:sz="4"/>
              <w:left w:val="single" w:color="BFBFBF" w:sz="4"/>
              <w:bottom w:val="single" w:color="BFBFBF" w:sz="4"/>
              <w:right w:val="single" w:color="BFBFBF" w:sz="4"/>
            </w:tcBorders>
            <w:shd w:fill="EDEDED" w:val="clear"/>
            <w:tcMar>
              <w:top w:type="dxa" w:w="100"/>
              <w:left w:type="dxa" w:w="140"/>
              <w:bottom w:type="dxa" w:w="100"/>
              <w:right w:type="dxa" w:w="140"/>
            </w:tcMar>
          </w:tcPr>
          <w:p>
            <w:r>
              <w:rPr>
                <w:b/>
                <w:bCs/>
              </w:rPr>
              <w:t xml:space="preserve">Layer 2</w:t>
            </w:r>
          </w:p>
        </w:tc>
        <w:tc>
          <w:tcPr>
            <w:tcW w:type="dxa" w:w="7020"/>
            <w:tcBorders>
              <w:top w:val="single" w:color="BFBFBF" w:sz="4"/>
              <w:left w:val="single" w:color="BFBFBF" w:sz="4"/>
              <w:bottom w:val="single" w:color="BFBFBF" w:sz="4"/>
              <w:right w:val="single" w:color="BFBFBF" w:sz="4"/>
            </w:tcBorders>
            <w:shd w:fill="EDEDED" w:val="clear"/>
            <w:tcMar>
              <w:top w:type="dxa" w:w="100"/>
              <w:left w:type="dxa" w:w="140"/>
              <w:bottom w:type="dxa" w:w="100"/>
              <w:right w:type="dxa" w:w="140"/>
            </w:tcMar>
          </w:tcPr>
          <w:p>
            <w:r>
              <w:rPr>
                <w:b w:val="false"/>
                <w:bCs w:val="false"/>
              </w:rPr>
              <w:t xml:space="preserve">Shared substrate — 36,195 cross-framework compliance mappings; PQC signing (ML-DSA-65 / Kyber-1024); DAG attestation; symbolic compliance grammar.</w:t>
            </w:r>
          </w:p>
        </w:tc>
      </w:tr>
      <w:tr>
        <w:tc>
          <w:tcPr>
            <w:tcW w:type="dxa" w:w="23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Layer 1</w:t>
            </w:r>
          </w:p>
        </w:tc>
        <w:tc>
          <w:tcPr>
            <w:tcW w:type="dxa" w:w="70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val="false"/>
                <w:bCs w:val="false"/>
                <w:color w:val="FFFFFF"/>
              </w:rPr>
              <w:t xml:space="preserve">KHEPRA Protocol — patent-pending IP (USPTO #73565085). Cryptographic + DAG attestation framework. The moat. Not sold directly.</w:t>
            </w:r>
          </w:p>
        </w:tc>
      </w:tr>
    </w:tbl>
    <w:p>
      <w:r>
        <w:t xml:space="preserve"/>
      </w:r>
    </w:p>
    <w:p>
      <w:pPr>
        <w:spacing w:after="120"/>
      </w:pPr>
      <w:r>
        <w:t xml:space="preserve">Both commercial products sit on the same cryptographic foundation. PQC-MCP routes agent calls into whichever product matches the customer profile. The protocol layer is the patent moat — competitors cannot replicate the symbolic grammar plus 36,195 mappings plus PQC binding without 24–36 months of catch-up work.</w:t>
      </w:r>
    </w:p>
    <w:p>
      <w:r>
        <w:br w:type="page"/>
      </w:r>
    </w:p>
    <w:p>
      <w:pPr>
        <w:pStyle w:val="Heading1"/>
      </w:pPr>
      <w:r>
        <w:t xml:space="preserve">Layer 1 — KHEPRA Protocol</w:t>
      </w:r>
    </w:p>
    <w:p>
      <w:pPr>
        <w:pStyle w:val="Heading2"/>
      </w:pPr>
      <w:r>
        <w:t xml:space="preserve">What it is</w:t>
      </w:r>
    </w:p>
    <w:p>
      <w:pPr>
        <w:spacing w:after="120"/>
      </w:pPr>
      <w:r>
        <w:t xml:space="preserve">KHEPRA Protocol is the patent-pending cryptographic and ontological framework underlying all NouchiX products. It is the invention. It is not a product. It is the IP that makes the products defensible.</w:t>
      </w:r>
    </w:p>
    <w:p>
      <w:pPr>
        <w:pStyle w:val="Heading2"/>
      </w:pPr>
      <w:r>
        <w:t xml:space="preserve">Patent</w:t>
      </w:r>
    </w:p>
    <w:p>
      <w:pPr>
        <w:pStyle w:val="ListParagraph"/>
        <w:numPr>
          <w:ilvl w:val="0"/>
          <w:numId w:val="2"/>
        </w:numPr>
        <w:spacing w:after="80"/>
      </w:pPr>
      <w:r>
        <w:rPr>
          <w:b/>
          <w:bCs/>
        </w:rPr>
        <w:t xml:space="preserve">Application: </w:t>
      </w:r>
      <w:r>
        <w:t xml:space="preserve">USPTO #73565085 (Pending)</w:t>
      </w:r>
    </w:p>
    <w:p>
      <w:pPr>
        <w:pStyle w:val="ListParagraph"/>
        <w:numPr>
          <w:ilvl w:val="0"/>
          <w:numId w:val="2"/>
        </w:numPr>
        <w:spacing w:after="80"/>
      </w:pPr>
      <w:r>
        <w:rPr>
          <w:b/>
          <w:bCs/>
        </w:rPr>
        <w:t xml:space="preserve">Title: </w:t>
      </w:r>
      <w:r>
        <w:t xml:space="preserve">Adinkra Symbol-Based Cryptographic Attestation System for Quantum-Resilient Autonomous AI Security</w:t>
      </w:r>
    </w:p>
    <w:p>
      <w:pPr>
        <w:pStyle w:val="ListParagraph"/>
        <w:numPr>
          <w:ilvl w:val="0"/>
          <w:numId w:val="2"/>
        </w:numPr>
        <w:spacing w:after="80"/>
      </w:pPr>
      <w:r>
        <w:rPr>
          <w:b/>
          <w:bCs/>
        </w:rPr>
        <w:t xml:space="preserve">Holder: </w:t>
      </w:r>
      <w:r>
        <w:t xml:space="preserve">Souhimbou Doh Kone (Creator / Source-Owner), with legal title vested in SOUHIMBOU DOH KONE LLC under Master IP Assignment dated 2025</w:t>
      </w:r>
    </w:p>
    <w:p>
      <w:pPr>
        <w:pStyle w:val="ListParagraph"/>
        <w:numPr>
          <w:ilvl w:val="0"/>
          <w:numId w:val="2"/>
        </w:numPr>
        <w:spacing w:after="80"/>
      </w:pPr>
      <w:r>
        <w:rPr>
          <w:b/>
          <w:bCs/>
        </w:rPr>
        <w:t xml:space="preserve">Exclusive commercial license: </w:t>
      </w:r>
      <w:r>
        <w:t xml:space="preserve">SecRed Knowledge Inc. (NouchiX)</w:t>
      </w:r>
    </w:p>
    <w:p>
      <w:pPr>
        <w:pStyle w:val="Heading2"/>
      </w:pPr>
      <w:r>
        <w:t xml:space="preserve">Core technical components</w:t>
      </w:r>
    </w:p>
    <w:p>
      <w:pPr>
        <w:pStyle w:val="ListParagraph"/>
        <w:numPr>
          <w:ilvl w:val="0"/>
          <w:numId w:val="2"/>
        </w:numPr>
        <w:spacing w:after="80"/>
      </w:pPr>
      <w:r>
        <w:t xml:space="preserve">Triple-layer post-quantum cryptographic signing: ML-DSA-65 (NIST FIPS 204) + Kyber-1024 (NIST FIPS 203) + ECDSA P-384 hybrid</w:t>
      </w:r>
    </w:p>
    <w:p>
      <w:pPr>
        <w:pStyle w:val="ListParagraph"/>
        <w:numPr>
          <w:ilvl w:val="0"/>
          <w:numId w:val="2"/>
        </w:numPr>
        <w:spacing w:after="80"/>
      </w:pPr>
      <w:r>
        <w:t xml:space="preserve">Immutable DAG attestation chain — every finding, action, and agent decision recorded as a content-addressed node with PQC signatures</w:t>
      </w:r>
    </w:p>
    <w:p>
      <w:pPr>
        <w:pStyle w:val="ListParagraph"/>
        <w:numPr>
          <w:ilvl w:val="0"/>
          <w:numId w:val="2"/>
        </w:numPr>
        <w:spacing w:after="80"/>
      </w:pPr>
      <w:r>
        <w:t xml:space="preserve">Symbolic compliance grammar — each Adinkra symbol maps deterministically to regulatory frameworks (Eban → DoD RMF / STIG; Fawohodie → CMMC / revocation; Nkyinkyim → FedRAMP / GDPR; Dwennimmen → PCI DSS / HIPAA)</w:t>
      </w:r>
    </w:p>
    <w:p>
      <w:pPr>
        <w:pStyle w:val="ListParagraph"/>
        <w:numPr>
          <w:ilvl w:val="0"/>
          <w:numId w:val="2"/>
        </w:numPr>
        <w:spacing w:after="80"/>
      </w:pPr>
      <w:r>
        <w:t xml:space="preserve">36,195 cross-framework mappings — STIG → CCI → NIST 800-53 → NIST 800-171 → CMMC 2.0/3.0, embedded in the binary at build time</w:t>
      </w:r>
    </w:p>
    <w:p>
      <w:pPr>
        <w:pStyle w:val="ListParagraph"/>
        <w:numPr>
          <w:ilvl w:val="0"/>
          <w:numId w:val="2"/>
        </w:numPr>
        <w:spacing w:after="80"/>
      </w:pPr>
      <w:r>
        <w:t xml:space="preserve">ASAF (Agentic Security Attestation Framework) cryptographic primitives — sign agent actions with trust scores, compliance tags, and provenance metadata</w:t>
      </w:r>
    </w:p>
    <w:p>
      <w:pPr>
        <w:pStyle w:val="ListParagraph"/>
        <w:numPr>
          <w:ilvl w:val="0"/>
          <w:numId w:val="2"/>
        </w:numPr>
        <w:spacing w:after="80"/>
      </w:pPr>
      <w:r>
        <w:t xml:space="preserve">Merkaba white-box encryption — sacred-geometry-derived obfuscation for embedded and air-gapped use</w:t>
      </w:r>
    </w:p>
    <w:p>
      <w:pPr>
        <w:pStyle w:val="Heading2"/>
      </w:pPr>
      <w:r>
        <w:t xml:space="preserve">Why it is the moat</w:t>
      </w:r>
    </w:p>
    <w:p>
      <w:pPr>
        <w:spacing w:after="120"/>
      </w:pPr>
      <w:r>
        <w:t xml:space="preserve">Competitors can build compliance scanners. They cannot replicate the patented combination of post-quantum signing, symbolic grammar, and pre-computed cross-framework mappings without 24–36 months of independent development and an equivalent patent filing. The protocol is what makes both AdinKhepra ASAF and SouHimBou AI defensible at exit.</w:t>
      </w:r>
    </w:p>
    <w:p>
      <w:pPr>
        <w:pStyle w:val="Heading2"/>
      </w:pPr>
      <w:r>
        <w:t xml:space="preserve">How it is monetized</w:t>
      </w:r>
    </w:p>
    <w:p>
      <w:pPr>
        <w:spacing w:after="120"/>
      </w:pPr>
      <w:r>
        <w:t xml:space="preserve">Indirectly. The Protocol is not sold as a standalone product. It is licensed exclusively to SecRed Knowledge Inc., which embeds it in two commercial products (AdinKhepra ASAF and SouHimBou AI) and one agent channel (PQC-MCP). Any future patent licensing to hyperscalers, defense primes, or AI labs would be a separate revenue stream on top of product revenue.</w:t>
      </w:r>
    </w:p>
    <w:p>
      <w:pPr>
        <w:pStyle w:val="Heading2"/>
      </w:pPr>
      <w:r>
        <w:t xml:space="preserve">Where its story lives</w:t>
      </w:r>
    </w:p>
    <w:p>
      <w:pPr>
        <w:pStyle w:val="ListParagraph"/>
        <w:numPr>
          <w:ilvl w:val="0"/>
          <w:numId w:val="2"/>
        </w:numPr>
        <w:spacing w:after="80"/>
      </w:pPr>
      <w:r>
        <w:t xml:space="preserve">nouchix.com — high-level narrative for advisory clients and partners (what the IP is, why it matters, why NouchiX owns it)</w:t>
      </w:r>
    </w:p>
    <w:p>
      <w:pPr>
        <w:pStyle w:val="ListParagraph"/>
        <w:numPr>
          <w:ilvl w:val="0"/>
          <w:numId w:val="2"/>
        </w:numPr>
        <w:spacing w:after="80"/>
      </w:pPr>
      <w:r>
        <w:t xml:space="preserve">adinkhepra.com — technical depth for DIB / federal procurement evaluators (cryptographic details, NIST alignment, patent reference)</w:t>
      </w:r>
    </w:p>
    <w:p>
      <w:pPr>
        <w:pStyle w:val="ListParagraph"/>
        <w:numPr>
          <w:ilvl w:val="0"/>
          <w:numId w:val="2"/>
        </w:numPr>
        <w:spacing w:after="80"/>
      </w:pPr>
      <w:r>
        <w:t xml:space="preserve">Patent filing artifacts (PROVISIONAL_PATENT_APPLICATION_ID_73565085.docx and related) remain internal IP documents</w:t>
      </w:r>
    </w:p>
    <w:p>
      <w:r>
        <w:br w:type="page"/>
      </w:r>
    </w:p>
    <w:p>
      <w:pPr>
        <w:pStyle w:val="Heading1"/>
      </w:pPr>
      <w:r>
        <w:t xml:space="preserve">Layer 3a — AdinKhepra ASAF</w:t>
      </w:r>
    </w:p>
    <w:p>
      <w:pPr>
        <w:pStyle w:val="Heading2"/>
      </w:pPr>
      <w:r>
        <w:t xml:space="preserve">What it is</w:t>
      </w:r>
    </w:p>
    <w:p>
      <w:pPr>
        <w:spacing w:after="120"/>
      </w:pPr>
      <w:r>
        <w:t xml:space="preserve">AdinKhepra ASAF is the CMMC Autopilot Engine. It is the sovereign, bare-metal product built on KHEPRA Protocol. It is sold to organizations that need to pass a CMMC, NIST 800-171, or DFARS assessment with cryptographically verifiable evidence packages.</w:t>
      </w:r>
    </w:p>
    <w:p>
      <w:pPr>
        <w:pStyle w:val="Heading2"/>
      </w:pPr>
      <w:r>
        <w:t xml:space="preserve">The question it answers</w:t>
      </w:r>
    </w:p>
    <w:p>
      <w:pPr>
        <w:spacing w:after="120"/>
      </w:pPr>
      <w:r>
        <w:rPr>
          <w:b/>
          <w:bCs/>
          <w:i/>
          <w:iCs/>
        </w:rPr>
        <w:t xml:space="preserve">Will I pass my CMMC audit?</w:t>
      </w:r>
    </w:p>
    <w:p>
      <w:pPr>
        <w:pStyle w:val="Heading2"/>
      </w:pPr>
      <w:r>
        <w:t xml:space="preserve">Who buys it</w:t>
      </w:r>
    </w:p>
    <w:p>
      <w:pPr>
        <w:pStyle w:val="ListParagraph"/>
        <w:numPr>
          <w:ilvl w:val="0"/>
          <w:numId w:val="2"/>
        </w:numPr>
        <w:spacing w:after="80"/>
      </w:pPr>
      <w:r>
        <w:t xml:space="preserve">CISO or compliance lead at a DIB contractor facing CMMC Level 2 or Level 3 assessment</w:t>
      </w:r>
    </w:p>
    <w:p>
      <w:pPr>
        <w:pStyle w:val="ListParagraph"/>
        <w:numPr>
          <w:ilvl w:val="0"/>
          <w:numId w:val="2"/>
        </w:numPr>
        <w:spacing w:after="80"/>
      </w:pPr>
      <w:r>
        <w:t xml:space="preserve">Contracts officer who needs DFARS 252.204-7021 evidence for a prime award</w:t>
      </w:r>
    </w:p>
    <w:p>
      <w:pPr>
        <w:pStyle w:val="ListParagraph"/>
        <w:numPr>
          <w:ilvl w:val="0"/>
          <w:numId w:val="2"/>
        </w:numPr>
        <w:spacing w:after="80"/>
      </w:pPr>
      <w:r>
        <w:t xml:space="preserve">C3PAO evaluator who needs structured evidence intake from contractor environments</w:t>
      </w:r>
    </w:p>
    <w:p>
      <w:pPr>
        <w:pStyle w:val="ListParagraph"/>
        <w:numPr>
          <w:ilvl w:val="0"/>
          <w:numId w:val="2"/>
        </w:numPr>
        <w:spacing w:after="80"/>
      </w:pPr>
      <w:r>
        <w:t xml:space="preserve">DoD program office or prime contractor security architect</w:t>
      </w:r>
    </w:p>
    <w:p>
      <w:pPr>
        <w:pStyle w:val="ListParagraph"/>
        <w:numPr>
          <w:ilvl w:val="0"/>
          <w:numId w:val="2"/>
        </w:numPr>
        <w:spacing w:after="80"/>
      </w:pPr>
      <w:r>
        <w:t xml:space="preserve">MSP serving the Defense Industrial Base under flat-license multi-tenant arrangements</w:t>
      </w:r>
    </w:p>
    <w:p>
      <w:pPr>
        <w:pStyle w:val="Heading2"/>
      </w:pPr>
      <w:r>
        <w:t xml:space="preserve">What it does</w:t>
      </w:r>
    </w:p>
    <w:p>
      <w:pPr>
        <w:pStyle w:val="ListParagraph"/>
        <w:numPr>
          <w:ilvl w:val="0"/>
          <w:numId w:val="2"/>
        </w:numPr>
        <w:spacing w:after="80"/>
      </w:pPr>
      <w:r>
        <w:t xml:space="preserve">Runs real-system STIG validation across RHEL, Windows, network devices, and container hosts</w:t>
      </w:r>
    </w:p>
    <w:p>
      <w:pPr>
        <w:pStyle w:val="ListParagraph"/>
        <w:numPr>
          <w:ilvl w:val="0"/>
          <w:numId w:val="2"/>
        </w:numPr>
        <w:spacing w:after="80"/>
      </w:pPr>
      <w:r>
        <w:t xml:space="preserve">Auto-maps every finding across 36,195 cross-framework controls (STIG / CCI / NIST 800-53 / NIST 800-171 / CMMC)</w:t>
      </w:r>
    </w:p>
    <w:p>
      <w:pPr>
        <w:pStyle w:val="ListParagraph"/>
        <w:numPr>
          <w:ilvl w:val="0"/>
          <w:numId w:val="2"/>
        </w:numPr>
        <w:spacing w:after="80"/>
      </w:pPr>
      <w:r>
        <w:t xml:space="preserve">Generates the Godfather Report — dollar-denominated business impact per finding, executive-ready, mapped to remediation ROI</w:t>
      </w:r>
    </w:p>
    <w:p>
      <w:pPr>
        <w:pStyle w:val="ListParagraph"/>
        <w:numPr>
          <w:ilvl w:val="0"/>
          <w:numId w:val="2"/>
        </w:numPr>
        <w:spacing w:after="80"/>
      </w:pPr>
      <w:r>
        <w:t xml:space="preserve">Produces PQC-signed attestation packages (ML-DSA-65) that auditors can verify independently</w:t>
      </w:r>
    </w:p>
    <w:p>
      <w:pPr>
        <w:pStyle w:val="ListParagraph"/>
        <w:numPr>
          <w:ilvl w:val="0"/>
          <w:numId w:val="2"/>
        </w:numPr>
        <w:spacing w:after="80"/>
      </w:pPr>
      <w:r>
        <w:t xml:space="preserve">Maintains an immutable DAG audit trail of every scan, finding, and remediation</w:t>
      </w:r>
    </w:p>
    <w:p>
      <w:pPr>
        <w:pStyle w:val="ListParagraph"/>
        <w:numPr>
          <w:ilvl w:val="0"/>
          <w:numId w:val="2"/>
        </w:numPr>
        <w:spacing w:after="80"/>
      </w:pPr>
      <w:r>
        <w:t xml:space="preserve">Runs air-gapped — no external network calls, no telemetry, no cloud dependency</w:t>
      </w:r>
    </w:p>
    <w:p>
      <w:pPr>
        <w:pStyle w:val="Heading2"/>
      </w:pPr>
      <w:r>
        <w:t xml:space="preserve">Deployment posture</w:t>
      </w:r>
    </w:p>
    <w:p>
      <w:pPr>
        <w:pStyle w:val="ListParagraph"/>
        <w:numPr>
          <w:ilvl w:val="0"/>
          <w:numId w:val="2"/>
        </w:numPr>
        <w:spacing w:after="80"/>
      </w:pPr>
      <w:r>
        <w:t xml:space="preserve">Hardened Go binary, zero external dependencies</w:t>
      </w:r>
    </w:p>
    <w:p>
      <w:pPr>
        <w:pStyle w:val="ListParagraph"/>
        <w:numPr>
          <w:ilvl w:val="0"/>
          <w:numId w:val="2"/>
        </w:numPr>
        <w:spacing w:after="80"/>
      </w:pPr>
      <w:r>
        <w:t xml:space="preserve">FIPS 140-3 build (GOEXPERIMENT=boringcrypto)</w:t>
      </w:r>
    </w:p>
    <w:p>
      <w:pPr>
        <w:pStyle w:val="ListParagraph"/>
        <w:numPr>
          <w:ilvl w:val="0"/>
          <w:numId w:val="2"/>
        </w:numPr>
        <w:spacing w:after="80"/>
      </w:pPr>
      <w:r>
        <w:t xml:space="preserve">Docker Compose or bare-metal on customer infrastructure</w:t>
      </w:r>
    </w:p>
    <w:p>
      <w:pPr>
        <w:pStyle w:val="ListParagraph"/>
        <w:numPr>
          <w:ilvl w:val="0"/>
          <w:numId w:val="2"/>
        </w:numPr>
        <w:spacing w:after="80"/>
      </w:pPr>
      <w:r>
        <w:t xml:space="preserve">Optional GovCloud deployment via AWS Marketplace</w:t>
      </w:r>
    </w:p>
    <w:p>
      <w:pPr>
        <w:pStyle w:val="ListParagraph"/>
        <w:numPr>
          <w:ilvl w:val="0"/>
          <w:numId w:val="2"/>
        </w:numPr>
        <w:spacing w:after="80"/>
      </w:pPr>
      <w:r>
        <w:t xml:space="preserve">Optional Iron Bank submission (in progress) for DoD container registry distribution</w:t>
      </w:r>
    </w:p>
    <w:p>
      <w:pPr>
        <w:pStyle w:val="Heading2"/>
      </w:pPr>
      <w:r>
        <w:t xml:space="preserve">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Tier</w:t>
            </w:r>
          </w:p>
        </w:tc>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Price (annual)</w:t>
            </w:r>
          </w:p>
        </w:tc>
        <w:tc>
          <w:tcPr>
            <w:tcW w:type="dxa" w:w="51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Scope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Pilot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$25,000</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Single environment. On-premise binary. Godfather Report. Single-framework evidence (CMMC L2 or NIST 800-171).</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Program</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$75,000</w:t>
            </w:r>
          </w:p>
        </w:tc>
        <w:tc>
          <w:tcPr>
            <w:tcW w:type="dxa" w:w="5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Multi-environment. DAG provenance. Full STIG / CMMC / NIST evidence package. Quarterly attestation refresh.</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Enterprise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$150K – $250K+</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Unlimited environments. AWS Marketplace procurement. Custom SLAs. Dedicated TAM. Air-gap hardening. Iron Bank support.</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Strategic / SDVOSB</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Sole-source up to $5M</w:t>
            </w:r>
          </w:p>
        </w:tc>
        <w:tc>
          <w:tcPr>
            <w:tcW w:type="dxa" w:w="5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Single-award via SDVOSB set-aside. Custom scope. Used for prime-contractor or DoD program office engagements.</w:t>
            </w:r>
          </w:p>
        </w:tc>
      </w:tr>
    </w:tbl>
    <w:p>
      <w:r>
        <w:t xml:space="preserve"/>
      </w:r>
    </w:p>
    <w:p>
      <w:pPr>
        <w:pStyle w:val="Heading2"/>
      </w:pPr>
      <w:r>
        <w:t xml:space="preserve">Where it lives</w:t>
      </w:r>
    </w:p>
    <w:p>
      <w:pPr>
        <w:pStyle w:val="ListParagraph"/>
        <w:numPr>
          <w:ilvl w:val="0"/>
          <w:numId w:val="2"/>
        </w:numPr>
        <w:spacing w:after="80"/>
      </w:pPr>
      <w:r>
        <w:t xml:space="preserve">Primary marketing site: adinkhepra.com</w:t>
      </w:r>
    </w:p>
    <w:p>
      <w:pPr>
        <w:pStyle w:val="ListParagraph"/>
        <w:numPr>
          <w:ilvl w:val="0"/>
          <w:numId w:val="2"/>
        </w:numPr>
        <w:spacing w:after="80"/>
      </w:pPr>
      <w:r>
        <w:t xml:space="preserve">Procurement: AWS Marketplace (in submission), direct via SDVOSB sole-source</w:t>
      </w:r>
    </w:p>
    <w:p>
      <w:pPr>
        <w:pStyle w:val="ListParagraph"/>
        <w:numPr>
          <w:ilvl w:val="0"/>
          <w:numId w:val="2"/>
        </w:numPr>
        <w:spacing w:after="80"/>
      </w:pPr>
      <w:r>
        <w:t xml:space="preserve">Container distribution: Iron Bank (in submission), GHCR (private)</w:t>
      </w:r>
    </w:p>
    <w:p>
      <w:pPr>
        <w:pStyle w:val="Heading2"/>
      </w:pPr>
      <w:r>
        <w:t xml:space="preserve">Why it wins</w:t>
      </w:r>
    </w:p>
    <w:p>
      <w:pPr>
        <w:pStyle w:val="ListParagraph"/>
        <w:numPr>
          <w:ilvl w:val="0"/>
          <w:numId w:val="2"/>
        </w:numPr>
        <w:spacing w:after="80"/>
      </w:pPr>
      <w:r>
        <w:t xml:space="preserve">Flat annual licensing — no per-token, per-seat, or per-scan billing. CFO-friendly in regulated procurement.</w:t>
      </w:r>
    </w:p>
    <w:p>
      <w:pPr>
        <w:pStyle w:val="ListParagraph"/>
        <w:numPr>
          <w:ilvl w:val="0"/>
          <w:numId w:val="2"/>
        </w:numPr>
        <w:spacing w:after="80"/>
      </w:pPr>
      <w:r>
        <w:t xml:space="preserve">Air-gappable — satisfies CUI handling, classified enclave requirements, and zero-egress mandates.</w:t>
      </w:r>
    </w:p>
    <w:p>
      <w:pPr>
        <w:pStyle w:val="ListParagraph"/>
        <w:numPr>
          <w:ilvl w:val="0"/>
          <w:numId w:val="2"/>
        </w:numPr>
        <w:spacing w:after="80"/>
      </w:pPr>
      <w:r>
        <w:t xml:space="preserve">36,195 mappings baked in — one scan produces evidence for STIG, NIST 800-53, NIST 800-171, and CMMC simultaneously.</w:t>
      </w:r>
    </w:p>
    <w:p>
      <w:pPr>
        <w:pStyle w:val="ListParagraph"/>
        <w:numPr>
          <w:ilvl w:val="0"/>
          <w:numId w:val="2"/>
        </w:numPr>
        <w:spacing w:after="80"/>
      </w:pPr>
      <w:r>
        <w:t xml:space="preserve">PQC-signed attestation — auditor-verifiable evidence with post-quantum cryptography. NSM-10 and CISA PQC mandate compliant.</w:t>
      </w:r>
    </w:p>
    <w:p>
      <w:pPr>
        <w:pStyle w:val="ListParagraph"/>
        <w:numPr>
          <w:ilvl w:val="0"/>
          <w:numId w:val="2"/>
        </w:numPr>
        <w:spacing w:after="80"/>
      </w:pPr>
      <w:r>
        <w:t xml:space="preserve">SDVOSB sole-source path — single-award contracts up to $5M without competitive procurement.</w:t>
      </w:r>
    </w:p>
    <w:p>
      <w:r>
        <w:br w:type="page"/>
      </w:r>
    </w:p>
    <w:p>
      <w:pPr>
        <w:pStyle w:val="Heading1"/>
      </w:pPr>
      <w:r>
        <w:t xml:space="preserve">Layer 3b — SouHimBou AI</w:t>
      </w:r>
    </w:p>
    <w:p>
      <w:pPr>
        <w:pStyle w:val="Heading2"/>
      </w:pPr>
      <w:r>
        <w:t xml:space="preserve">What it is</w:t>
      </w:r>
    </w:p>
    <w:p>
      <w:pPr>
        <w:spacing w:after="120"/>
      </w:pPr>
      <w:r>
        <w:t xml:space="preserve">SouHimBou AI is the SaaS product. It is the AI Flight Recorder and Security Camera for agentic AI systems. It captures, signs, and stores every action an AI agent takes — so you can prove what happened after the fact.</w:t>
      </w:r>
    </w:p>
    <w:p>
      <w:pPr>
        <w:pStyle w:val="Heading2"/>
      </w:pPr>
      <w:r>
        <w:t xml:space="preserve">The question it answers</w:t>
      </w:r>
    </w:p>
    <w:p>
      <w:pPr>
        <w:spacing w:after="120"/>
      </w:pPr>
      <w:r>
        <w:rPr>
          <w:b/>
          <w:bCs/>
          <w:i/>
          <w:iCs/>
        </w:rPr>
        <w:t xml:space="preserve">What did my AI agents actually do, and can I prove it?</w:t>
      </w:r>
    </w:p>
    <w:p>
      <w:pPr>
        <w:pStyle w:val="Heading2"/>
      </w:pPr>
      <w:r>
        <w:t xml:space="preserve">Who buys it</w:t>
      </w:r>
    </w:p>
    <w:p>
      <w:pPr>
        <w:pStyle w:val="ListParagraph"/>
        <w:numPr>
          <w:ilvl w:val="0"/>
          <w:numId w:val="2"/>
        </w:numPr>
        <w:spacing w:after="80"/>
      </w:pPr>
      <w:r>
        <w:t xml:space="preserve">Developer or security engineer at a startup running production AI agents</w:t>
      </w:r>
    </w:p>
    <w:p>
      <w:pPr>
        <w:pStyle w:val="ListParagraph"/>
        <w:numPr>
          <w:ilvl w:val="0"/>
          <w:numId w:val="2"/>
        </w:numPr>
        <w:spacing w:after="80"/>
      </w:pPr>
      <w:r>
        <w:t xml:space="preserve">Startup CTO whose company deployed Claude, GPT, or custom agents and now needs an audit trail</w:t>
      </w:r>
    </w:p>
    <w:p>
      <w:pPr>
        <w:pStyle w:val="ListParagraph"/>
        <w:numPr>
          <w:ilvl w:val="0"/>
          <w:numId w:val="2"/>
        </w:numPr>
        <w:spacing w:after="80"/>
      </w:pPr>
      <w:r>
        <w:t xml:space="preserve">SMB CTO under SOC 2, ISO 27001, or HIPAA scrutiny with agentic AI in scope</w:t>
      </w:r>
    </w:p>
    <w:p>
      <w:pPr>
        <w:pStyle w:val="ListParagraph"/>
        <w:numPr>
          <w:ilvl w:val="0"/>
          <w:numId w:val="2"/>
        </w:numPr>
        <w:spacing w:after="80"/>
      </w:pPr>
      <w:r>
        <w:t xml:space="preserve">Security engineer at a mid-market company where agents touch customer data, financials, or PHI</w:t>
      </w:r>
    </w:p>
    <w:p>
      <w:pPr>
        <w:pStyle w:val="ListParagraph"/>
        <w:numPr>
          <w:ilvl w:val="0"/>
          <w:numId w:val="2"/>
        </w:numPr>
        <w:spacing w:after="80"/>
      </w:pPr>
      <w:r>
        <w:t xml:space="preserve">Forward-deployed engineer at an enterprise piloting agentic workflows and needing forensic capture</w:t>
      </w:r>
    </w:p>
    <w:p>
      <w:pPr>
        <w:pStyle w:val="Heading2"/>
      </w:pPr>
      <w:r>
        <w:t xml:space="preserve">What it does</w:t>
      </w:r>
    </w:p>
    <w:p>
      <w:pPr>
        <w:pStyle w:val="ListParagraph"/>
        <w:numPr>
          <w:ilvl w:val="0"/>
          <w:numId w:val="2"/>
        </w:numPr>
        <w:spacing w:after="80"/>
      </w:pPr>
      <w:r>
        <w:t xml:space="preserve">Records every agent action (tool call, MCP invocation, API request, decision branch) to a tamper-evident DAG</w:t>
      </w:r>
    </w:p>
    <w:p>
      <w:pPr>
        <w:pStyle w:val="ListParagraph"/>
        <w:numPr>
          <w:ilvl w:val="0"/>
          <w:numId w:val="2"/>
        </w:numPr>
        <w:spacing w:after="80"/>
      </w:pPr>
      <w:r>
        <w:t xml:space="preserve">Signs every record with KHEPRA Protocol PQC primitives (ML-DSA-65) so the chain cannot be silently rewritten</w:t>
      </w:r>
    </w:p>
    <w:p>
      <w:pPr>
        <w:pStyle w:val="ListParagraph"/>
        <w:numPr>
          <w:ilvl w:val="0"/>
          <w:numId w:val="2"/>
        </w:numPr>
        <w:spacing w:after="80"/>
      </w:pPr>
      <w:r>
        <w:t xml:space="preserve">Provides a security-camera dashboard: replay any agent session, see exactly which tools were called, with what inputs, producing what outputs</w:t>
      </w:r>
    </w:p>
    <w:p>
      <w:pPr>
        <w:pStyle w:val="ListParagraph"/>
        <w:numPr>
          <w:ilvl w:val="0"/>
          <w:numId w:val="2"/>
        </w:numPr>
        <w:spacing w:after="80"/>
      </w:pPr>
      <w:r>
        <w:t xml:space="preserve">Detects anomalies in real-time: KASA crypto agent flags tampering, unusual privilege escalation, or behavioral drift</w:t>
      </w:r>
    </w:p>
    <w:p>
      <w:pPr>
        <w:pStyle w:val="ListParagraph"/>
        <w:numPr>
          <w:ilvl w:val="0"/>
          <w:numId w:val="2"/>
        </w:numPr>
        <w:spacing w:after="80"/>
      </w:pPr>
      <w:r>
        <w:t xml:space="preserve">Auto-segments compromised agent sessions and quarantines them</w:t>
      </w:r>
    </w:p>
    <w:p>
      <w:pPr>
        <w:pStyle w:val="ListParagraph"/>
        <w:numPr>
          <w:ilvl w:val="0"/>
          <w:numId w:val="2"/>
        </w:numPr>
        <w:spacing w:after="80"/>
      </w:pPr>
      <w:r>
        <w:t xml:space="preserve">Exports tamper-evident audit packages for incident response, regulatory submission, or insurance claims</w:t>
      </w:r>
    </w:p>
    <w:p>
      <w:pPr>
        <w:pStyle w:val="Heading2"/>
      </w:pPr>
      <w:r>
        <w:t xml:space="preserve">The positioning frame</w:t>
      </w:r>
    </w:p>
    <w:p>
      <w:pPr>
        <w:spacing w:after="120"/>
      </w:pPr>
      <w:r>
        <w:t xml:space="preserve">Cloud-era logging tools (Datadog, Splunk, Honeycomb) were built for deterministic infrastructure. They assume you know what your system will do and you log when it deviates.</w:t>
      </w:r>
    </w:p>
    <w:p>
      <w:pPr>
        <w:spacing w:after="120"/>
      </w:pPr>
      <w:r>
        <w:t xml:space="preserve">Agentic AI breaks that assumption. You do not know what your agent will do. You need a Flight Recorder that captures everything — every prompt, every tool call, every decision — with cryptographic proof of integrity. Not because your agent might fail, but because when it does, your only defense is verifiable evidence of what it did and did not do.</w:t>
      </w:r>
    </w:p>
    <w:p>
      <w:pPr>
        <w:spacing w:after="120"/>
      </w:pPr>
      <w:r>
        <w:t xml:space="preserve">SouHimBou AI is that Flight Recorder. It is what Datadog would build if Datadog had to assume their customers' systems were non-deterministic and adversarially observed.</w:t>
      </w:r>
    </w:p>
    <w:p>
      <w:pPr>
        <w:pStyle w:val="Heading2"/>
      </w:pPr>
      <w:r>
        <w:t xml:space="preserve">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Tier</w:t>
            </w:r>
          </w:p>
        </w:tc>
        <w:tc>
          <w:tcPr>
            <w:tcW w:type="dxa" w:w="1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Price</w:t>
            </w:r>
          </w:p>
        </w:tc>
        <w:tc>
          <w:tcPr>
            <w:tcW w:type="dxa" w:w="58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What you get</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Free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$0</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Up to 1,000 agent actions per month. Basic Flight Recorder. 7-day retention. Community support.</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Certify</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$99 / month</w:t>
            </w:r>
          </w:p>
        </w:tc>
        <w:tc>
          <w:tcPr>
            <w:tcW w:type="dxa" w:w="5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Up to 100,000 agent actions per month. Full Flight Recorder. 90-day retention. PQC-signed export. ADINKHEPRA badge.</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Enterprise SaaS</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$499 / month</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Unlimited actions. Continuous monitoring. Attestation API. Team seats. 1-year retention. Anomaly detection. Custom integrations.</w:t>
            </w:r>
          </w:p>
        </w:tc>
      </w:tr>
    </w:tbl>
    <w:p>
      <w:r>
        <w:t xml:space="preserve"/>
      </w:r>
    </w:p>
    <w:p>
      <w:pPr>
        <w:pStyle w:val="Heading2"/>
      </w:pPr>
      <w:r>
        <w:t xml:space="preserve">Where it lives</w:t>
      </w:r>
    </w:p>
    <w:p>
      <w:pPr>
        <w:pStyle w:val="ListParagraph"/>
        <w:numPr>
          <w:ilvl w:val="0"/>
          <w:numId w:val="2"/>
        </w:numPr>
        <w:spacing w:after="80"/>
      </w:pPr>
      <w:r>
        <w:t xml:space="preserve">Primary marketing site: souhimbou.ai</w:t>
      </w:r>
    </w:p>
    <w:p>
      <w:pPr>
        <w:pStyle w:val="ListParagraph"/>
        <w:numPr>
          <w:ilvl w:val="0"/>
          <w:numId w:val="2"/>
        </w:numPr>
        <w:spacing w:after="80"/>
      </w:pPr>
      <w:r>
        <w:t xml:space="preserve">Sign-up: self-serve via Stripe payment links</w:t>
      </w:r>
    </w:p>
    <w:p>
      <w:pPr>
        <w:pStyle w:val="ListParagraph"/>
        <w:numPr>
          <w:ilvl w:val="0"/>
          <w:numId w:val="2"/>
        </w:numPr>
        <w:spacing w:after="80"/>
      </w:pPr>
      <w:r>
        <w:t xml:space="preserve">Distribution: PyPI package, npm package, Docker image, MCP integration</w:t>
      </w:r>
    </w:p>
    <w:p>
      <w:pPr>
        <w:pStyle w:val="Heading2"/>
      </w:pPr>
      <w:r>
        <w:t xml:space="preserve">Why it wins</w:t>
      </w:r>
    </w:p>
    <w:p>
      <w:pPr>
        <w:pStyle w:val="ListParagraph"/>
        <w:numPr>
          <w:ilvl w:val="0"/>
          <w:numId w:val="2"/>
        </w:numPr>
        <w:spacing w:after="80"/>
      </w:pPr>
      <w:r>
        <w:t xml:space="preserve">Purpose-built for agentic AI — not a logging tool with AI bolted on</w:t>
      </w:r>
    </w:p>
    <w:p>
      <w:pPr>
        <w:pStyle w:val="ListParagraph"/>
        <w:numPr>
          <w:ilvl w:val="0"/>
          <w:numId w:val="2"/>
        </w:numPr>
        <w:spacing w:after="80"/>
      </w:pPr>
      <w:r>
        <w:t xml:space="preserve">PQC-signed records — your audit trail survives the quantum transition</w:t>
      </w:r>
    </w:p>
    <w:p>
      <w:pPr>
        <w:pStyle w:val="ListParagraph"/>
        <w:numPr>
          <w:ilvl w:val="0"/>
          <w:numId w:val="2"/>
        </w:numPr>
        <w:spacing w:after="80"/>
      </w:pPr>
      <w:r>
        <w:t xml:space="preserve">Self-serve pricing — developers can adopt without procurement involvement</w:t>
      </w:r>
    </w:p>
    <w:p>
      <w:pPr>
        <w:pStyle w:val="ListParagraph"/>
        <w:numPr>
          <w:ilvl w:val="0"/>
          <w:numId w:val="2"/>
        </w:numPr>
        <w:spacing w:after="80"/>
      </w:pPr>
      <w:r>
        <w:t xml:space="preserve">Built on KHEPRA Protocol — same cryptographic foundation as the DoD-grade ASAF, sized for SMB economics</w:t>
      </w:r>
    </w:p>
    <w:p>
      <w:pPr>
        <w:pStyle w:val="ListParagraph"/>
        <w:numPr>
          <w:ilvl w:val="0"/>
          <w:numId w:val="2"/>
        </w:numPr>
        <w:spacing w:after="80"/>
      </w:pPr>
      <w:r>
        <w:t xml:space="preserve">Compatible with any MCP client — Claude, Cursor, GPT, custom agents</w:t>
      </w:r>
    </w:p>
    <w:p>
      <w:r>
        <w:br w:type="page"/>
      </w:r>
    </w:p>
    <w:p>
      <w:pPr>
        <w:pStyle w:val="Heading1"/>
      </w:pPr>
      <w:r>
        <w:t xml:space="preserve">Layer 4 — PQC-MCP</w:t>
      </w:r>
    </w:p>
    <w:p>
      <w:pPr>
        <w:pStyle w:val="Heading2"/>
      </w:pPr>
      <w:r>
        <w:t xml:space="preserve">What it is</w:t>
      </w:r>
    </w:p>
    <w:p>
      <w:pPr>
        <w:spacing w:after="120"/>
      </w:pPr>
      <w:r>
        <w:t xml:space="preserve">PQC-MCP is the agent channel. It is a Model Context Protocol server with a built-in scanner and tools. It is how AI assistants — Claude, Cursor, GPT, Cline, and any MCP-compatible client — invoke either AdinKhepra ASAF or SouHimBou AI capabilities.</w:t>
      </w:r>
    </w:p>
    <w:p>
      <w:pPr>
        <w:pStyle w:val="Heading2"/>
      </w:pPr>
      <w:r>
        <w:t xml:space="preserve">The role it plays</w:t>
      </w:r>
    </w:p>
    <w:p>
      <w:pPr>
        <w:spacing w:after="120"/>
      </w:pPr>
      <w:r>
        <w:t xml:space="preserve">PQC-MCP is not a product on its own. It is the surface area through which agents interact with the underlying products. Think of it as the API gateway, the universal translator between agentic clients and NouchiX engines.</w:t>
      </w:r>
    </w:p>
    <w:p>
      <w:pPr>
        <w:pStyle w:val="Heading2"/>
      </w:pPr>
      <w:r>
        <w:t xml:space="preserve">What it exposes</w:t>
      </w:r>
    </w:p>
    <w:p>
      <w:pPr>
        <w:pStyle w:val="ListParagraph"/>
        <w:numPr>
          <w:ilvl w:val="0"/>
          <w:numId w:val="2"/>
        </w:numPr>
        <w:spacing w:after="80"/>
      </w:pPr>
      <w:r>
        <w:t xml:space="preserve">ert_scan — Enterprise Risk and Threat scan. Run a full compliance scan from inside any MCP client.</w:t>
      </w:r>
    </w:p>
    <w:p>
      <w:pPr>
        <w:pStyle w:val="ListParagraph"/>
        <w:numPr>
          <w:ilvl w:val="0"/>
          <w:numId w:val="2"/>
        </w:numPr>
        <w:spacing w:after="80"/>
      </w:pPr>
      <w:r>
        <w:t xml:space="preserve">stig_check — Check a system path or configuration against RHEL-09-STIG controls.</w:t>
      </w:r>
    </w:p>
    <w:p>
      <w:pPr>
        <w:pStyle w:val="ListParagraph"/>
        <w:numPr>
          <w:ilvl w:val="0"/>
          <w:numId w:val="2"/>
        </w:numPr>
        <w:spacing w:after="80"/>
      </w:pPr>
      <w:r>
        <w:t xml:space="preserve">nist_map — Map a list of CCI identifiers or STIG findings to NIST 800-53 Rev 5 controls.</w:t>
      </w:r>
    </w:p>
    <w:p>
      <w:pPr>
        <w:pStyle w:val="ListParagraph"/>
        <w:numPr>
          <w:ilvl w:val="0"/>
          <w:numId w:val="2"/>
        </w:numPr>
        <w:spacing w:after="80"/>
      </w:pPr>
      <w:r>
        <w:t xml:space="preserve">cmmc_assess — Assess a system or artifact against CMMC Level 1, 2, or 3 practices.</w:t>
      </w:r>
    </w:p>
    <w:p>
      <w:pPr>
        <w:pStyle w:val="ListParagraph"/>
        <w:numPr>
          <w:ilvl w:val="0"/>
          <w:numId w:val="2"/>
        </w:numPr>
        <w:spacing w:after="80"/>
      </w:pPr>
      <w:r>
        <w:t xml:space="preserve">godfather_report — Generate a Godfather Report from prior scan results.</w:t>
      </w:r>
    </w:p>
    <w:p>
      <w:pPr>
        <w:pStyle w:val="ListParagraph"/>
        <w:numPr>
          <w:ilvl w:val="0"/>
          <w:numId w:val="2"/>
        </w:numPr>
        <w:spacing w:after="80"/>
      </w:pPr>
      <w:r>
        <w:t xml:space="preserve">agent_record — Send agent actions to SouHimBou AI for Flight Recorder capture (planned).</w:t>
      </w:r>
    </w:p>
    <w:p>
      <w:pPr>
        <w:pStyle w:val="ListParagraph"/>
        <w:numPr>
          <w:ilvl w:val="0"/>
          <w:numId w:val="2"/>
        </w:numPr>
        <w:spacing w:after="80"/>
      </w:pPr>
      <w:r>
        <w:t xml:space="preserve">attest_export — Export a PQC-signed attestation package.</w:t>
      </w:r>
    </w:p>
    <w:p>
      <w:pPr>
        <w:pStyle w:val="Heading2"/>
      </w:pPr>
      <w:r>
        <w:t xml:space="preserve">How it is distributed</w:t>
      </w:r>
    </w:p>
    <w:p>
      <w:pPr>
        <w:pStyle w:val="ListParagraph"/>
        <w:numPr>
          <w:ilvl w:val="0"/>
          <w:numId w:val="2"/>
        </w:numPr>
        <w:spacing w:after="80"/>
      </w:pPr>
      <w:r>
        <w:t xml:space="preserve">Container registry: ghcr.io/nouchix/pqc-khepra-mcp</w:t>
      </w:r>
    </w:p>
    <w:p>
      <w:pPr>
        <w:pStyle w:val="ListParagraph"/>
        <w:numPr>
          <w:ilvl w:val="0"/>
          <w:numId w:val="2"/>
        </w:numPr>
        <w:spacing w:after="80"/>
      </w:pPr>
      <w:r>
        <w:t xml:space="preserve">MCP Registry: io.github.nouchix/pqc-khepra-mcp</w:t>
      </w:r>
    </w:p>
    <w:p>
      <w:pPr>
        <w:pStyle w:val="ListParagraph"/>
        <w:numPr>
          <w:ilvl w:val="0"/>
          <w:numId w:val="2"/>
        </w:numPr>
        <w:spacing w:after="80"/>
      </w:pPr>
      <w:r>
        <w:t xml:space="preserve">GitHub MCP Registry: published via repository tag</w:t>
      </w:r>
    </w:p>
    <w:p>
      <w:pPr>
        <w:pStyle w:val="ListParagraph"/>
        <w:numPr>
          <w:ilvl w:val="0"/>
          <w:numId w:val="2"/>
        </w:numPr>
        <w:spacing w:after="80"/>
      </w:pPr>
      <w:r>
        <w:t xml:space="preserve">AWS Marketplace MCP listing (in submission)</w:t>
      </w:r>
    </w:p>
    <w:p>
      <w:pPr>
        <w:pStyle w:val="ListParagraph"/>
        <w:numPr>
          <w:ilvl w:val="0"/>
          <w:numId w:val="2"/>
        </w:numPr>
        <w:spacing w:after="80"/>
      </w:pPr>
      <w:r>
        <w:t xml:space="preserve">mcpservers.org and cline.bot marketplace listings</w:t>
      </w:r>
    </w:p>
    <w:p>
      <w:pPr>
        <w:pStyle w:val="Heading2"/>
      </w:pPr>
      <w:r>
        <w:t xml:space="preserve">Deployment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Mode</w:t>
            </w:r>
          </w:p>
        </w:tc>
        <w:tc>
          <w:tcPr>
            <w:tcW w:type="dxa" w:w="36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Description</w:t>
            </w:r>
          </w:p>
        </w:tc>
        <w:tc>
          <w:tcPr>
            <w:tcW w:type="dxa" w:w="36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Used by</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sovereign</w:t>
            </w:r>
          </w:p>
        </w:tc>
        <w:tc>
          <w:tcPr>
            <w:tcW w:type="dxa" w:w="3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Air-gapped, full autonomous ops, zero external dependencies</w:t>
            </w:r>
          </w:p>
        </w:tc>
        <w:tc>
          <w:tcPr>
            <w:tcW w:type="dxa" w:w="3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AdinKhepra ASAF customers (DIB, primes, classified enclaves)</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ironbank</w:t>
            </w:r>
          </w:p>
        </w:tc>
        <w:tc>
          <w:tcPr>
            <w:tcW w:type="dxa" w:w="3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DoD/IC production, full compliance frameworks</w:t>
            </w:r>
          </w:p>
        </w:tc>
        <w:tc>
          <w:tcPr>
            <w:tcW w:type="dxa" w:w="3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AdinKhepra ASAF Strategic tier</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hybrid</w:t>
            </w:r>
          </w:p>
        </w:tc>
        <w:tc>
          <w:tcPr>
            <w:tcW w:type="dxa" w:w="3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Edge + network-wide coordination</w:t>
            </w:r>
          </w:p>
        </w:tc>
        <w:tc>
          <w:tcPr>
            <w:tcW w:type="dxa" w:w="3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SouHimBou AI Enterprise tier</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edge</w:t>
            </w:r>
          </w:p>
        </w:tc>
        <w:tc>
          <w:tcPr>
            <w:tcW w:type="dxa" w:w="3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Autonomous endpoint</w:t>
            </w:r>
          </w:p>
        </w:tc>
        <w:tc>
          <w:tcPr>
            <w:tcW w:type="dxa" w:w="3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SouHimBou AI Free / Certify tiers</w:t>
            </w:r>
          </w:p>
        </w:tc>
      </w:tr>
    </w:tbl>
    <w:p>
      <w:r>
        <w:t xml:space="preserve"/>
      </w:r>
    </w:p>
    <w:p>
      <w:pPr>
        <w:spacing w:after="120"/>
      </w:pPr>
      <w:r>
        <w:t xml:space="preserve">The KHEPRA_MODE environment variable selects which backend the MCP server connects to. Sovereign and ironbank modes connect to AdinKhepra ASAF. Hybrid and edge modes connect to SouHimBou AI. One binary, four modes, two products.</w:t>
      </w:r>
    </w:p>
    <w:p>
      <w:pPr>
        <w:pStyle w:val="Heading2"/>
      </w:pPr>
      <w:r>
        <w:t xml:space="preserve">Pricing</w:t>
      </w:r>
    </w:p>
    <w:p>
      <w:pPr>
        <w:spacing w:after="120"/>
      </w:pPr>
      <w:r>
        <w:t xml:space="preserve">PQC-MCP itself is bundled with the underlying product license. There is no separate per-call or per-seat charge. A customer buying AdinKhepra ASAF gets sovereign mode included. A SouHimBou AI subscriber gets edge or hybrid mode included. The free Community tier of PQC-MCP includes read-only tools and basic scanning.</w:t>
      </w:r>
    </w:p>
    <w:p>
      <w:r>
        <w:br w:type="page"/>
      </w:r>
    </w:p>
    <w:p>
      <w:pPr>
        <w:pStyle w:val="Heading1"/>
      </w:pPr>
      <w:r>
        <w:t xml:space="preserve">Domain Mapping</w:t>
      </w:r>
    </w:p>
    <w:p>
      <w:pPr>
        <w:spacing w:after="120"/>
      </w:pPr>
      <w:r>
        <w:t xml:space="preserve">Three production domains, each with a specific role. No domain serves more than one role. No role spans more than two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Domain</w:t>
            </w:r>
          </w:p>
        </w:tc>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Role</w:t>
            </w:r>
          </w:p>
        </w:tc>
        <w:tc>
          <w:tcPr>
            <w:tcW w:type="dxa" w:w="49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What lives there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nouchix.com</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Company / advisory</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SecRed Knowledge Inc. / NouchiX identity. SDVOSB story. Leadership. Advisory services. High-level KHEPRA Protocol IP narrative. Gateway links to both products. Press, contact, careers.</w:t>
            </w:r>
          </w:p>
        </w:tc>
      </w:tr>
      <w:tr>
        <w:tc>
          <w:tcPr>
            <w:tcW w:type="dxa" w:w="2200"/>
            <w:tcBorders>
              <w:top w:val="single" w:color="BFBFBF" w:sz="4"/>
              <w:left w:val="single" w:color="BFBFBF" w:sz="4"/>
              <w:bottom w:val="single" w:color="BFBFBF" w:sz="4"/>
              <w:right w:val="single" w:color="BFBFBF" w:sz="4"/>
            </w:tcBorders>
            <w:shd w:fill="FFF2CC" w:val="clear"/>
            <w:tcMar>
              <w:top w:type="dxa" w:w="100"/>
              <w:left w:type="dxa" w:w="140"/>
              <w:bottom w:type="dxa" w:w="100"/>
              <w:right w:type="dxa" w:w="140"/>
            </w:tcMar>
          </w:tcPr>
          <w:p>
            <w:r>
              <w:rPr>
                <w:b/>
                <w:bCs/>
              </w:rPr>
              <w:t xml:space="preserve">adinkhepra.com</w:t>
            </w:r>
          </w:p>
        </w:tc>
        <w:tc>
          <w:tcPr>
            <w:tcW w:type="dxa" w:w="2200"/>
            <w:tcBorders>
              <w:top w:val="single" w:color="BFBFBF" w:sz="4"/>
              <w:left w:val="single" w:color="BFBFBF" w:sz="4"/>
              <w:bottom w:val="single" w:color="BFBFBF" w:sz="4"/>
              <w:right w:val="single" w:color="BFBFBF" w:sz="4"/>
            </w:tcBorders>
            <w:shd w:fill="FFF2CC" w:val="clear"/>
            <w:tcMar>
              <w:top w:type="dxa" w:w="100"/>
              <w:left w:type="dxa" w:w="140"/>
              <w:bottom w:type="dxa" w:w="100"/>
              <w:right w:type="dxa" w:w="140"/>
            </w:tcMar>
          </w:tcPr>
          <w:p>
            <w:r>
              <w:rPr>
                <w:b w:val="false"/>
                <w:bCs w:val="false"/>
              </w:rPr>
              <w:t xml:space="preserve">CMMC Autopilot Engine marketing</w:t>
            </w:r>
          </w:p>
        </w:tc>
        <w:tc>
          <w:tcPr>
            <w:tcW w:type="dxa" w:w="4960"/>
            <w:tcBorders>
              <w:top w:val="single" w:color="BFBFBF" w:sz="4"/>
              <w:left w:val="single" w:color="BFBFBF" w:sz="4"/>
              <w:bottom w:val="single" w:color="BFBFBF" w:sz="4"/>
              <w:right w:val="single" w:color="BFBFBF" w:sz="4"/>
            </w:tcBorders>
            <w:shd w:fill="FFF2CC" w:val="clear"/>
            <w:tcMar>
              <w:top w:type="dxa" w:w="100"/>
              <w:left w:type="dxa" w:w="140"/>
              <w:bottom w:type="dxa" w:w="100"/>
              <w:right w:type="dxa" w:w="140"/>
            </w:tcMar>
          </w:tcPr>
          <w:p>
            <w:r>
              <w:rPr>
                <w:b w:val="false"/>
                <w:bCs w:val="false"/>
              </w:rPr>
              <w:t xml:space="preserve">Full AdinKhepra ASAF marketing site. KHEPRA Protocol IP technical depth (cryptographic detail, NIST alignment, patent reference). $25K–$250K Sovereign procurement. Pilot, Program, Enterprise, Strategic tiers. Iron Bank status. SDVOSB sole-source path.</w:t>
            </w:r>
          </w:p>
        </w:tc>
      </w:tr>
      <w:tr>
        <w:tc>
          <w:tcPr>
            <w:tcW w:type="dxa" w:w="22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b/>
                <w:bCs/>
              </w:rPr>
              <w:t xml:space="preserve">souhimbou.ai</w:t>
            </w:r>
          </w:p>
        </w:tc>
        <w:tc>
          <w:tcPr>
            <w:tcW w:type="dxa" w:w="22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b w:val="false"/>
                <w:bCs w:val="false"/>
              </w:rPr>
              <w:t xml:space="preserve">SaaS product marketing</w:t>
            </w:r>
          </w:p>
        </w:tc>
        <w:tc>
          <w:tcPr>
            <w:tcW w:type="dxa" w:w="496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b w:val="false"/>
                <w:bCs w:val="false"/>
              </w:rPr>
              <w:t xml:space="preserve">Full SouHimBou AI marketing site. AI Flight Recorder / Security Camera positioning. $0 / $99 / $499 self-serve pricing. Stripe checkout. Developer documentation. MCP integration guides.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ghcr.io/nouchix</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PQC-MCP distribution</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Container images for PQC-MCP. Cross-referenced from MCP Registry and AWS Marketplace. No dedicated marketing site.</w:t>
            </w:r>
          </w:p>
        </w:tc>
      </w:tr>
    </w:tbl>
    <w:p>
      <w:r>
        <w:t xml:space="preserve"/>
      </w:r>
    </w:p>
    <w:p>
      <w:pPr>
        <w:pStyle w:val="Heading2"/>
      </w:pPr>
      <w:r>
        <w:t xml:space="preserve">Cross-linking rules</w:t>
      </w:r>
    </w:p>
    <w:p>
      <w:pPr>
        <w:pStyle w:val="ListParagraph"/>
        <w:numPr>
          <w:ilvl w:val="0"/>
          <w:numId w:val="2"/>
        </w:numPr>
        <w:spacing w:after="80"/>
      </w:pPr>
      <w:r>
        <w:t xml:space="preserve">nouchix.com links to both adinkhepra.com and souhimbou.ai with equal prominence on a Products page</w:t>
      </w:r>
    </w:p>
    <w:p>
      <w:pPr>
        <w:pStyle w:val="ListParagraph"/>
        <w:numPr>
          <w:ilvl w:val="0"/>
          <w:numId w:val="2"/>
        </w:numPr>
        <w:spacing w:after="80"/>
      </w:pPr>
      <w:r>
        <w:t xml:space="preserve">adinkhepra.com mentions SouHimBou AI only in the context of related products, not as a primary CTA</w:t>
      </w:r>
    </w:p>
    <w:p>
      <w:pPr>
        <w:pStyle w:val="ListParagraph"/>
        <w:numPr>
          <w:ilvl w:val="0"/>
          <w:numId w:val="2"/>
        </w:numPr>
        <w:spacing w:after="80"/>
      </w:pPr>
      <w:r>
        <w:t xml:space="preserve">souhimbou.ai mentions AdinKhepra ASAF only in the context of related products, not as a primary CTA</w:t>
      </w:r>
    </w:p>
    <w:p>
      <w:pPr>
        <w:pStyle w:val="ListParagraph"/>
        <w:numPr>
          <w:ilvl w:val="0"/>
          <w:numId w:val="2"/>
        </w:numPr>
        <w:spacing w:after="80"/>
      </w:pPr>
      <w:r>
        <w:t xml:space="preserve">All three domains link back to nouchix.com for company information, contact, and SDVOSB credentials</w:t>
      </w:r>
    </w:p>
    <w:p>
      <w:pPr>
        <w:pStyle w:val="ListParagraph"/>
        <w:numPr>
          <w:ilvl w:val="0"/>
          <w:numId w:val="2"/>
        </w:numPr>
        <w:spacing w:after="80"/>
      </w:pPr>
      <w:r>
        <w:t xml:space="preserve">PQC-MCP documentation links from both adinkhepra.com (for sovereign deployment) and souhimbou.ai (for SaaS integration)</w:t>
      </w:r>
    </w:p>
    <w:p>
      <w:r>
        <w:br w:type="page"/>
      </w:r>
    </w:p>
    <w:p>
      <w:pPr>
        <w:pStyle w:val="Heading1"/>
      </w:pPr>
      <w:r>
        <w:t xml:space="preserve">Buyer Personas — Two Distinct Narratives</w:t>
      </w:r>
    </w:p>
    <w:p>
      <w:pPr>
        <w:spacing w:after="120"/>
      </w:pPr>
      <w:r>
        <w:t xml:space="preserve">AdinKhepra ASAF and SouHimBou AI sit on the same cryptographic foundation but are sold to fundamentally different people with fundamentally different urgency drivers. Never mix the narratives in the same conversation, the same pitch, or the same landing page.</w:t>
      </w:r>
    </w:p>
    <w:p>
      <w:pPr>
        <w:pStyle w:val="Heading2"/>
      </w:pPr>
      <w:r>
        <w:t xml:space="preserve">AdinKhepra ASAF — The CMMC Audit Buyer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FFF2CC" w:val="clear"/>
            <w:tcMar>
              <w:top w:type="dxa" w:w="100"/>
              <w:left w:type="dxa" w:w="140"/>
              <w:bottom w:type="dxa" w:w="100"/>
              <w:right w:type="dxa" w:w="140"/>
            </w:tcMar>
          </w:tcPr>
          <w:p>
            <w:r>
              <w:rPr>
                <w:b/>
                <w:bCs/>
              </w:rPr>
              <w:t xml:space="preserve">Title</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CISO, Compliance Officer, Contracts Officer, Security Architect</w:t>
            </w:r>
          </w:p>
        </w:tc>
      </w:tr>
      <w:tr>
        <w:tc>
          <w:tcPr>
            <w:tcW w:type="dxa" w:w="2600"/>
            <w:tcBorders>
              <w:top w:val="single" w:color="BFBFBF" w:sz="4"/>
              <w:left w:val="single" w:color="BFBFBF" w:sz="4"/>
              <w:bottom w:val="single" w:color="BFBFBF" w:sz="4"/>
              <w:right w:val="single" w:color="BFBFBF" w:sz="4"/>
            </w:tcBorders>
            <w:shd w:fill="FFF2CC" w:val="clear"/>
            <w:tcMar>
              <w:top w:type="dxa" w:w="100"/>
              <w:left w:type="dxa" w:w="140"/>
              <w:bottom w:type="dxa" w:w="100"/>
              <w:right w:type="dxa" w:w="140"/>
            </w:tcMar>
          </w:tcPr>
          <w:p>
            <w:r>
              <w:rPr>
                <w:b/>
                <w:bCs/>
              </w:rPr>
              <w:t xml:space="preserve">Organization</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DIB contractor ($10M–$500M revenue), prime contractor, DoD program office, C3PAO, MSP serving defense</w:t>
            </w:r>
          </w:p>
        </w:tc>
      </w:tr>
      <w:tr>
        <w:tc>
          <w:tcPr>
            <w:tcW w:type="dxa" w:w="2600"/>
            <w:tcBorders>
              <w:top w:val="single" w:color="BFBFBF" w:sz="4"/>
              <w:left w:val="single" w:color="BFBFBF" w:sz="4"/>
              <w:bottom w:val="single" w:color="BFBFBF" w:sz="4"/>
              <w:right w:val="single" w:color="BFBFBF" w:sz="4"/>
            </w:tcBorders>
            <w:shd w:fill="FFF2CC" w:val="clear"/>
            <w:tcMar>
              <w:top w:type="dxa" w:w="100"/>
              <w:left w:type="dxa" w:w="140"/>
              <w:bottom w:type="dxa" w:w="100"/>
              <w:right w:type="dxa" w:w="140"/>
            </w:tcMar>
          </w:tcPr>
          <w:p>
            <w:r>
              <w:rPr>
                <w:b/>
                <w:bCs/>
              </w:rPr>
              <w:t xml:space="preserve">Urgency driver</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Imminent CMMC assessment, DFARS 252.204-7021 deadline, prime contract requirement, audit findings</w:t>
            </w:r>
          </w:p>
        </w:tc>
      </w:tr>
      <w:tr>
        <w:tc>
          <w:tcPr>
            <w:tcW w:type="dxa" w:w="2600"/>
            <w:tcBorders>
              <w:top w:val="single" w:color="BFBFBF" w:sz="4"/>
              <w:left w:val="single" w:color="BFBFBF" w:sz="4"/>
              <w:bottom w:val="single" w:color="BFBFBF" w:sz="4"/>
              <w:right w:val="single" w:color="BFBFBF" w:sz="4"/>
            </w:tcBorders>
            <w:shd w:fill="FFF2CC" w:val="clear"/>
            <w:tcMar>
              <w:top w:type="dxa" w:w="100"/>
              <w:left w:type="dxa" w:w="140"/>
              <w:bottom w:type="dxa" w:w="100"/>
              <w:right w:type="dxa" w:w="140"/>
            </w:tcMar>
          </w:tcPr>
          <w:p>
            <w:r>
              <w:rPr>
                <w:b/>
                <w:bCs/>
              </w:rPr>
              <w:t xml:space="preserve">Primary question</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Will I pass my CMMC audit?</w:t>
            </w:r>
          </w:p>
        </w:tc>
      </w:tr>
      <w:tr>
        <w:tc>
          <w:tcPr>
            <w:tcW w:type="dxa" w:w="2600"/>
            <w:tcBorders>
              <w:top w:val="single" w:color="BFBFBF" w:sz="4"/>
              <w:left w:val="single" w:color="BFBFBF" w:sz="4"/>
              <w:bottom w:val="single" w:color="BFBFBF" w:sz="4"/>
              <w:right w:val="single" w:color="BFBFBF" w:sz="4"/>
            </w:tcBorders>
            <w:shd w:fill="FFF2CC" w:val="clear"/>
            <w:tcMar>
              <w:top w:type="dxa" w:w="100"/>
              <w:left w:type="dxa" w:w="140"/>
              <w:bottom w:type="dxa" w:w="100"/>
              <w:right w:type="dxa" w:w="140"/>
            </w:tcMar>
          </w:tcPr>
          <w:p>
            <w:r>
              <w:rPr>
                <w:b/>
                <w:bCs/>
              </w:rPr>
              <w:t xml:space="preserve">Pain framing</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Manual control mapping is taking weeks. Evidence packages don't survive auditor scrutiny. Existing tools generate findings but don't produce defensible attestation.</w:t>
            </w:r>
          </w:p>
        </w:tc>
      </w:tr>
      <w:tr>
        <w:tc>
          <w:tcPr>
            <w:tcW w:type="dxa" w:w="2600"/>
            <w:tcBorders>
              <w:top w:val="single" w:color="BFBFBF" w:sz="4"/>
              <w:left w:val="single" w:color="BFBFBF" w:sz="4"/>
              <w:bottom w:val="single" w:color="BFBFBF" w:sz="4"/>
              <w:right w:val="single" w:color="BFBFBF" w:sz="4"/>
            </w:tcBorders>
            <w:shd w:fill="FFF2CC" w:val="clear"/>
            <w:tcMar>
              <w:top w:type="dxa" w:w="100"/>
              <w:left w:type="dxa" w:w="140"/>
              <w:bottom w:type="dxa" w:w="100"/>
              <w:right w:type="dxa" w:w="140"/>
            </w:tcMar>
          </w:tcPr>
          <w:p>
            <w:r>
              <w:rPr>
                <w:b/>
                <w:bCs/>
              </w:rPr>
              <w:t xml:space="preserve">Cost frame</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$10K per audit in consultant mapping fees. $300K/year in compliance program overhead. Lost contracts from failed assessments.</w:t>
            </w:r>
          </w:p>
        </w:tc>
      </w:tr>
      <w:tr>
        <w:tc>
          <w:tcPr>
            <w:tcW w:type="dxa" w:w="2600"/>
            <w:tcBorders>
              <w:top w:val="single" w:color="BFBFBF" w:sz="4"/>
              <w:left w:val="single" w:color="BFBFBF" w:sz="4"/>
              <w:bottom w:val="single" w:color="BFBFBF" w:sz="4"/>
              <w:right w:val="single" w:color="BFBFBF" w:sz="4"/>
            </w:tcBorders>
            <w:shd w:fill="FFF2CC" w:val="clear"/>
            <w:tcMar>
              <w:top w:type="dxa" w:w="100"/>
              <w:left w:type="dxa" w:w="140"/>
              <w:bottom w:type="dxa" w:w="100"/>
              <w:right w:type="dxa" w:w="140"/>
            </w:tcMar>
          </w:tcPr>
          <w:p>
            <w:r>
              <w:rPr>
                <w:b/>
                <w:bCs/>
              </w:rPr>
              <w:t xml:space="preserve">Procurement vehicle</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Direct purchase, AWS Marketplace, SDVOSB sole-source (up to $5M), prime contract pass-through</w:t>
            </w:r>
          </w:p>
        </w:tc>
      </w:tr>
      <w:tr>
        <w:tc>
          <w:tcPr>
            <w:tcW w:type="dxa" w:w="2600"/>
            <w:tcBorders>
              <w:top w:val="single" w:color="BFBFBF" w:sz="4"/>
              <w:left w:val="single" w:color="BFBFBF" w:sz="4"/>
              <w:bottom w:val="single" w:color="BFBFBF" w:sz="4"/>
              <w:right w:val="single" w:color="BFBFBF" w:sz="4"/>
            </w:tcBorders>
            <w:shd w:fill="FFF2CC" w:val="clear"/>
            <w:tcMar>
              <w:top w:type="dxa" w:w="100"/>
              <w:left w:type="dxa" w:w="140"/>
              <w:bottom w:type="dxa" w:w="100"/>
              <w:right w:type="dxa" w:w="140"/>
            </w:tcMar>
          </w:tcPr>
          <w:p>
            <w:r>
              <w:rPr>
                <w:b/>
                <w:bCs/>
              </w:rPr>
              <w:t xml:space="preserve">Decision cycle</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3–9 months. Multiple stakeholders. Procurement involvement. Pilot phase common.</w:t>
            </w:r>
          </w:p>
        </w:tc>
      </w:tr>
      <w:tr>
        <w:tc>
          <w:tcPr>
            <w:tcW w:type="dxa" w:w="2600"/>
            <w:tcBorders>
              <w:top w:val="single" w:color="BFBFBF" w:sz="4"/>
              <w:left w:val="single" w:color="BFBFBF" w:sz="4"/>
              <w:bottom w:val="single" w:color="BFBFBF" w:sz="4"/>
              <w:right w:val="single" w:color="BFBFBF" w:sz="4"/>
            </w:tcBorders>
            <w:shd w:fill="FFF2CC" w:val="clear"/>
            <w:tcMar>
              <w:top w:type="dxa" w:w="100"/>
              <w:left w:type="dxa" w:w="140"/>
              <w:bottom w:type="dxa" w:w="100"/>
              <w:right w:type="dxa" w:w="140"/>
            </w:tcMar>
          </w:tcPr>
          <w:p>
            <w:r>
              <w:rPr>
                <w:b/>
                <w:bCs/>
              </w:rPr>
              <w:t xml:space="preserve">Closing line</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One scan produces evidence for STIG, NIST, and CMMC simultaneously. Air-gappable. PQC-signed. Flat annual price. Pass your audit.</w:t>
            </w:r>
          </w:p>
        </w:tc>
      </w:tr>
    </w:tbl>
    <w:p>
      <w:r>
        <w:t xml:space="preserve"/>
      </w:r>
    </w:p>
    <w:p>
      <w:pPr>
        <w:pStyle w:val="Heading2"/>
      </w:pPr>
      <w:r>
        <w:t xml:space="preserve">SouHimBou AI — The Agentic Observability Buyer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b/>
                <w:bCs/>
              </w:rPr>
              <w:t xml:space="preserve">Title</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Developer, Security Engineer, Startup CTO, Forward-Deployed Engineer, Platform Lead</w:t>
            </w:r>
          </w:p>
        </w:tc>
      </w:tr>
      <w:tr>
        <w:tc>
          <w:tcPr>
            <w:tcW w:type="dxa" w:w="26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b/>
                <w:bCs/>
              </w:rPr>
              <w:t xml:space="preserve">Organization</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SaaS startup, mid-market tech company, AI-native enterprise, FinTech, HealthTech</w:t>
            </w:r>
          </w:p>
        </w:tc>
      </w:tr>
      <w:tr>
        <w:tc>
          <w:tcPr>
            <w:tcW w:type="dxa" w:w="26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b/>
                <w:bCs/>
              </w:rPr>
              <w:t xml:space="preserve">Urgency driver</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Production AI agent incident with no audit trail. SOC 2 audit identifying agent observability gap. Customer asking 'how do I know what your agent did with my data?'</w:t>
            </w:r>
          </w:p>
        </w:tc>
      </w:tr>
      <w:tr>
        <w:tc>
          <w:tcPr>
            <w:tcW w:type="dxa" w:w="26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b/>
                <w:bCs/>
              </w:rPr>
              <w:t xml:space="preserve">Primary question</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What did my AI agents actually do, and can I prove it?</w:t>
            </w:r>
          </w:p>
        </w:tc>
      </w:tr>
      <w:tr>
        <w:tc>
          <w:tcPr>
            <w:tcW w:type="dxa" w:w="26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b/>
                <w:bCs/>
              </w:rPr>
              <w:t xml:space="preserve">Pain framing</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Datadog and Splunk weren't built for non-deterministic systems. Agent logs are not tamper-evident. When an agent goes wrong, you can't prove what it did or didn't do.</w:t>
            </w:r>
          </w:p>
        </w:tc>
      </w:tr>
      <w:tr>
        <w:tc>
          <w:tcPr>
            <w:tcW w:type="dxa" w:w="26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b/>
                <w:bCs/>
              </w:rPr>
              <w:t xml:space="preserve">Cost frame</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$99–$499/month subscription. Saves a 6-figure incident response if a single agent action is ever disputed.</w:t>
            </w:r>
          </w:p>
        </w:tc>
      </w:tr>
      <w:tr>
        <w:tc>
          <w:tcPr>
            <w:tcW w:type="dxa" w:w="26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b/>
                <w:bCs/>
              </w:rPr>
              <w:t xml:space="preserve">Procurement vehicle</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Self-serve via Stripe. No procurement involvement at Free/Certify tiers. Enterprise tier may involve security review.</w:t>
            </w:r>
          </w:p>
        </w:tc>
      </w:tr>
      <w:tr>
        <w:tc>
          <w:tcPr>
            <w:tcW w:type="dxa" w:w="26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b/>
                <w:bCs/>
              </w:rPr>
              <w:t xml:space="preserve">Decision cycle</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Same day to 4 weeks. Single decision-maker typical. Free tier removes procurement friction.</w:t>
            </w:r>
          </w:p>
        </w:tc>
      </w:tr>
      <w:tr>
        <w:tc>
          <w:tcPr>
            <w:tcW w:type="dxa" w:w="26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b/>
                <w:bCs/>
              </w:rPr>
              <w:t xml:space="preserve">Closing line</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Every agent action recorded. Every record PQC-signed. Replay any session. When something goes sideways, you have proof.</w:t>
            </w:r>
          </w:p>
        </w:tc>
      </w:tr>
    </w:tbl>
    <w:p>
      <w:r>
        <w:t xml:space="preserve"/>
      </w:r>
    </w:p>
    <w:p>
      <w:pPr>
        <w:pStyle w:val="Heading2"/>
      </w:pPr>
      <w:r>
        <w:t xml:space="preserve">Rule of separation</w:t>
      </w:r>
    </w:p>
    <w:p>
      <w:pPr>
        <w:spacing w:after="120"/>
      </w:pPr>
      <w:r>
        <w:t xml:space="preserve">The CISO at a DIB contractor preparing for CMMC does not care about agent observability. The startup CTO running production AI agents does not care about CMMC. Selling either one the other's value proposition wastes the conversation.</w:t>
      </w:r>
    </w:p>
    <w:p>
      <w:pPr>
        <w:spacing w:after="120"/>
      </w:pPr>
      <w:r>
        <w:t xml:space="preserve">When the same prospect actually does need both (rare, but happens — e.g., a defense-tech startup with agentic AI features), AdinKhepra ASAF is the entry point and SouHimBou AI is a secondary upsell. Never the reverse.</w:t>
      </w:r>
    </w:p>
    <w:p>
      <w:r>
        <w:br w:type="page"/>
      </w:r>
    </w:p>
    <w:p>
      <w:pPr>
        <w:pStyle w:val="Heading1"/>
      </w:pPr>
      <w:r>
        <w:t xml:space="preserve">Legal and Organizational Structure</w:t>
      </w:r>
    </w:p>
    <w:p>
      <w:pPr>
        <w:pStyle w:val="Heading2"/>
      </w:pPr>
      <w:r>
        <w:t xml:space="preserve">Entities</w:t>
      </w:r>
    </w:p>
    <w:p>
      <w:pPr>
        <w:pStyle w:val="ListParagraph"/>
        <w:numPr>
          <w:ilvl w:val="0"/>
          <w:numId w:val="2"/>
        </w:numPr>
        <w:spacing w:after="80"/>
      </w:pPr>
      <w:r>
        <w:t xml:space="preserve">SOUHIMBOU DOH KONE LLC (Delaware LLC) — IP-holding company. Holds legal title to KHEPRA Protocol patent and all assigned IP.</w:t>
      </w:r>
    </w:p>
    <w:p>
      <w:pPr>
        <w:pStyle w:val="ListParagraph"/>
        <w:numPr>
          <w:ilvl w:val="0"/>
          <w:numId w:val="2"/>
        </w:numPr>
        <w:spacing w:after="80"/>
      </w:pPr>
      <w:r>
        <w:t xml:space="preserve">SecRed Knowledge Inc. dba NouchiX (Delaware C-Corp) — Commercial operating entity. Holds exclusive global license to commercialize the IP. Operates all three customer-facing domains.</w:t>
      </w:r>
    </w:p>
    <w:p>
      <w:pPr>
        <w:pStyle w:val="ListParagraph"/>
        <w:numPr>
          <w:ilvl w:val="0"/>
          <w:numId w:val="2"/>
        </w:numPr>
        <w:spacing w:after="80"/>
      </w:pPr>
      <w:r>
        <w:t xml:space="preserve">Souhimbou Doh Kone — Founder, Source-Owner, Creator. Active duty U.S. Army Sergeant (25S Satellite Communications). Perpetual beneficial owner of the IP with automatic reversion rights.</w:t>
      </w:r>
    </w:p>
    <w:p>
      <w:pPr>
        <w:pStyle w:val="Heading2"/>
      </w:pPr>
      <w:r>
        <w:t xml:space="preserve">IP chain of title</w:t>
      </w:r>
    </w:p>
    <w:p>
      <w:pPr>
        <w:pStyle w:val="ListParagraph"/>
        <w:numPr>
          <w:ilvl w:val="0"/>
          <w:numId w:val="2"/>
        </w:numPr>
        <w:spacing w:after="80"/>
      </w:pPr>
      <w:r>
        <w:t xml:space="preserve">Creator: Souhimbou Doh Kone (natural person, perpetual moral and beneficial owner)</w:t>
      </w:r>
    </w:p>
    <w:p>
      <w:pPr>
        <w:pStyle w:val="ListParagraph"/>
        <w:numPr>
          <w:ilvl w:val="0"/>
          <w:numId w:val="2"/>
        </w:numPr>
        <w:spacing w:after="80"/>
      </w:pPr>
      <w:r>
        <w:t xml:space="preserve">Assignment: Master IP Assignment dated 2025 vests legal title in SOUHIMBOU DOH KONE LLC</w:t>
      </w:r>
    </w:p>
    <w:p>
      <w:pPr>
        <w:pStyle w:val="ListParagraph"/>
        <w:numPr>
          <w:ilvl w:val="0"/>
          <w:numId w:val="2"/>
        </w:numPr>
        <w:spacing w:after="80"/>
      </w:pPr>
      <w:r>
        <w:t xml:space="preserve">Exclusive License: SOUHIMBOU DOH KONE LLC grants exclusive global commercialization rights to SecRed Knowledge Inc.</w:t>
      </w:r>
    </w:p>
    <w:p>
      <w:pPr>
        <w:pStyle w:val="ListParagraph"/>
        <w:numPr>
          <w:ilvl w:val="0"/>
          <w:numId w:val="2"/>
        </w:numPr>
        <w:spacing w:after="80"/>
      </w:pPr>
      <w:r>
        <w:t xml:space="preserve">Royalty: 20% of net profits derived from commercialization of SouHimBou AI; reversion clauses on LLC dissolution, loss of good standing, or unauthorized transfer</w:t>
      </w:r>
    </w:p>
    <w:p>
      <w:pPr>
        <w:pStyle w:val="ListParagraph"/>
        <w:numPr>
          <w:ilvl w:val="0"/>
          <w:numId w:val="2"/>
        </w:numPr>
        <w:spacing w:after="80"/>
      </w:pPr>
      <w:r>
        <w:t xml:space="preserve">Patent: USPTO #73565085 (Pending)</w:t>
      </w:r>
    </w:p>
    <w:p>
      <w:pPr>
        <w:pStyle w:val="Heading2"/>
      </w:pPr>
      <w:r>
        <w:t xml:space="preserve">Certifications and status</w:t>
      </w:r>
    </w:p>
    <w:p>
      <w:pPr>
        <w:pStyle w:val="ListParagraph"/>
        <w:numPr>
          <w:ilvl w:val="0"/>
          <w:numId w:val="2"/>
        </w:numPr>
        <w:spacing w:after="80"/>
      </w:pPr>
      <w:r>
        <w:t xml:space="preserve">SDVOSB (Service-Disabled Veteran-Owned Small Business) — eligible for sole-source contracts up to $5M</w:t>
      </w:r>
    </w:p>
    <w:p>
      <w:pPr>
        <w:pStyle w:val="ListParagraph"/>
        <w:numPr>
          <w:ilvl w:val="0"/>
          <w:numId w:val="2"/>
        </w:numPr>
        <w:spacing w:after="80"/>
      </w:pPr>
      <w:r>
        <w:t xml:space="preserve">Delaware C-Corp in Good Standing (SecRed Knowledge Inc.)</w:t>
      </w:r>
    </w:p>
    <w:p>
      <w:pPr>
        <w:pStyle w:val="ListParagraph"/>
        <w:numPr>
          <w:ilvl w:val="0"/>
          <w:numId w:val="2"/>
        </w:numPr>
        <w:spacing w:after="80"/>
      </w:pPr>
      <w:r>
        <w:t xml:space="preserve">Iron Bank submission in progress (DoD Platform One hardened container registry)</w:t>
      </w:r>
    </w:p>
    <w:p>
      <w:pPr>
        <w:pStyle w:val="ListParagraph"/>
        <w:numPr>
          <w:ilvl w:val="0"/>
          <w:numId w:val="2"/>
        </w:numPr>
        <w:spacing w:after="80"/>
      </w:pPr>
      <w:r>
        <w:t xml:space="preserve">AWS Marketplace seller (in submission)</w:t>
      </w:r>
    </w:p>
    <w:p>
      <w:pPr>
        <w:pStyle w:val="ListParagraph"/>
        <w:numPr>
          <w:ilvl w:val="0"/>
          <w:numId w:val="2"/>
        </w:numPr>
        <w:spacing w:after="80"/>
      </w:pPr>
      <w:r>
        <w:t xml:space="preserve">AR 27-60 Invention Rights Disclosure filed (Government clean-room defense)</w:t>
      </w:r>
    </w:p>
    <w:p>
      <w:pPr>
        <w:pStyle w:val="Heading2"/>
      </w:pPr>
      <w:r>
        <w:t xml:space="preserve">Governing law</w:t>
      </w:r>
    </w:p>
    <w:p>
      <w:pPr>
        <w:spacing w:after="120"/>
      </w:pPr>
      <w:r>
        <w:t xml:space="preserve">Delaware law and U.S. federal intellectual property law. Berne Convention, Paris Convention, TRIPS, WIPO Copyright Treaty incorporated for international protection.</w:t>
      </w:r>
    </w:p>
    <w:p>
      <w:r>
        <w:br w:type="page"/>
      </w:r>
    </w:p>
    <w:p>
      <w:pPr>
        <w:pStyle w:val="Heading1"/>
      </w:pPr>
      <w:r>
        <w:t xml:space="preserve">What This Document Replaces</w:t>
      </w:r>
    </w:p>
    <w:p>
      <w:pPr>
        <w:spacing w:after="120"/>
      </w:pPr>
      <w:r>
        <w:t xml:space="preserve">This document is the canonical source of truth. Where any existing project file contradicts the four-layer architecture defined here, the existing file is out of date and must be updated.</w:t>
      </w:r>
    </w:p>
    <w:p>
      <w:pPr>
        <w:pStyle w:val="Heading2"/>
      </w:pPr>
      <w:r>
        <w:t xml:space="preserve">Existing files that need realignment (priority order)</w:t>
      </w:r>
    </w:p>
    <w:p>
      <w:pPr>
        <w:pStyle w:val="ListParagraph"/>
        <w:numPr>
          <w:ilvl w:val="0"/>
          <w:numId w:val="2"/>
        </w:numPr>
        <w:spacing w:after="80"/>
      </w:pPr>
      <w:r>
        <w:t xml:space="preserve">AdinKhepra_Strategic_Analysis_v1.docx — strategic analysis must reflect the four-layer stack</w:t>
      </w:r>
    </w:p>
    <w:p>
      <w:pPr>
        <w:pStyle w:val="ListParagraph"/>
        <w:numPr>
          <w:ilvl w:val="0"/>
          <w:numId w:val="2"/>
        </w:numPr>
        <w:spacing w:after="80"/>
      </w:pPr>
      <w:r>
        <w:t xml:space="preserve">Cold_Messaging_Report_-_Souhimbou_Doh_Kone.docx — split outreach into ASAF (CMMC angle) and SouHimBou AI (Flight Recorder angle)</w:t>
      </w:r>
    </w:p>
    <w:p>
      <w:pPr>
        <w:pStyle w:val="ListParagraph"/>
        <w:numPr>
          <w:ilvl w:val="0"/>
          <w:numId w:val="2"/>
        </w:numPr>
        <w:spacing w:after="80"/>
      </w:pPr>
      <w:r>
        <w:t xml:space="preserve">KHEPRA_ASAF___15-SLIDE_DOD_PITCH_DECK.docx — clarify as the AdinKhepra ASAF deck; KHEPRA Protocol is the moat slide, not the product</w:t>
      </w:r>
    </w:p>
    <w:p>
      <w:pPr>
        <w:pStyle w:val="ListParagraph"/>
        <w:numPr>
          <w:ilvl w:val="0"/>
          <w:numId w:val="2"/>
        </w:numPr>
        <w:spacing w:after="80"/>
      </w:pPr>
      <w:r>
        <w:t xml:space="preserve">FEDERAL_-_DoD_POSITIONING_BRIEF___KHEPRA_Protocol.docx — already positioned at the right layer (Protocol IP), needs tighter four-layer framing</w:t>
      </w:r>
    </w:p>
    <w:p>
      <w:pPr>
        <w:pStyle w:val="ListParagraph"/>
        <w:numPr>
          <w:ilvl w:val="0"/>
          <w:numId w:val="2"/>
        </w:numPr>
        <w:spacing w:after="80"/>
      </w:pPr>
      <w:r>
        <w:t xml:space="preserve">DOD_Aligned_Whitepaper__KHEPRA_Protocol.docx — clarify Protocol vs. ASAF references</w:t>
      </w:r>
    </w:p>
    <w:p>
      <w:pPr>
        <w:pStyle w:val="ListParagraph"/>
        <w:numPr>
          <w:ilvl w:val="0"/>
          <w:numId w:val="2"/>
        </w:numPr>
        <w:spacing w:after="80"/>
      </w:pPr>
      <w:r>
        <w:t xml:space="preserve">AI-Native_Security___Autonomous_Compliance_for_the_Defense_Industrial_Base.docx — likely needs to become two whitepapers: one for ASAF (DIB / CMMC) and one for SouHimBou AI (agentic AI observability)</w:t>
      </w:r>
    </w:p>
    <w:p>
      <w:pPr>
        <w:pStyle w:val="Heading2"/>
      </w:pPr>
      <w:r>
        <w:t xml:space="preserve">Documents that remain accurate</w:t>
      </w:r>
    </w:p>
    <w:p>
      <w:pPr>
        <w:pStyle w:val="ListParagraph"/>
        <w:numPr>
          <w:ilvl w:val="0"/>
          <w:numId w:val="2"/>
        </w:numPr>
        <w:spacing w:after="80"/>
      </w:pPr>
      <w:r>
        <w:t xml:space="preserve">MASTER_INTELLECTUAL_PROPERTY_ASSIGNMENT.docx — legal structure unchanged</w:t>
      </w:r>
    </w:p>
    <w:p>
      <w:pPr>
        <w:pStyle w:val="ListParagraph"/>
        <w:numPr>
          <w:ilvl w:val="0"/>
          <w:numId w:val="2"/>
        </w:numPr>
        <w:spacing w:after="80"/>
      </w:pPr>
      <w:r>
        <w:t xml:space="preserve">PROVISIONAL_PATENT_APPLICATION_ID_73565085.docx — patent filing unchanged</w:t>
      </w:r>
    </w:p>
    <w:p>
      <w:pPr>
        <w:pStyle w:val="ListParagraph"/>
        <w:numPr>
          <w:ilvl w:val="0"/>
          <w:numId w:val="2"/>
        </w:numPr>
        <w:spacing w:after="80"/>
      </w:pPr>
      <w:r>
        <w:t xml:space="preserve">KHEPRA_PROPRIETARY_LICENSE_AGREEMENT__ON_PREMISE___MSP_.docx — license terms unchanged (apply to ASAF)</w:t>
      </w:r>
    </w:p>
    <w:p>
      <w:pPr>
        <w:pStyle w:val="ListParagraph"/>
        <w:numPr>
          <w:ilvl w:val="0"/>
          <w:numId w:val="2"/>
        </w:numPr>
        <w:spacing w:after="80"/>
      </w:pPr>
      <w:r>
        <w:t xml:space="preserve">STIGViewer_x_AdinKhepra_ASAF.docx — partnership scoping unchanged</w:t>
      </w:r>
    </w:p>
    <w:p>
      <w:pPr>
        <w:pStyle w:val="Heading2"/>
      </w:pPr>
      <w:r>
        <w:t xml:space="preserve">New artifacts to produce next (derived from this document)</w:t>
      </w:r>
    </w:p>
    <w:p>
      <w:pPr>
        <w:pStyle w:val="ListParagraph"/>
        <w:numPr>
          <w:ilvl w:val="0"/>
          <w:numId w:val="2"/>
        </w:numPr>
        <w:spacing w:after="80"/>
      </w:pPr>
      <w:r>
        <w:t xml:space="preserve">PQC-MCP MCP Registry listing copy + AWS Marketplace listing copy + GitHub README</w:t>
      </w:r>
    </w:p>
    <w:p>
      <w:pPr>
        <w:pStyle w:val="ListParagraph"/>
        <w:numPr>
          <w:ilvl w:val="0"/>
          <w:numId w:val="2"/>
        </w:numPr>
        <w:spacing w:after="80"/>
      </w:pPr>
      <w:r>
        <w:t xml:space="preserve">nouchix.com homepage and about page copy</w:t>
      </w:r>
    </w:p>
    <w:p>
      <w:pPr>
        <w:pStyle w:val="ListParagraph"/>
        <w:numPr>
          <w:ilvl w:val="0"/>
          <w:numId w:val="2"/>
        </w:numPr>
        <w:spacing w:after="80"/>
      </w:pPr>
      <w:r>
        <w:t xml:space="preserve">adinkhepra.com homepage and full marketing site copy</w:t>
      </w:r>
    </w:p>
    <w:p>
      <w:pPr>
        <w:pStyle w:val="ListParagraph"/>
        <w:numPr>
          <w:ilvl w:val="0"/>
          <w:numId w:val="2"/>
        </w:numPr>
        <w:spacing w:after="80"/>
      </w:pPr>
      <w:r>
        <w:t xml:space="preserve">souhimbou.ai homepage and full marketing site copy</w:t>
      </w:r>
    </w:p>
    <w:p>
      <w:pPr>
        <w:pStyle w:val="ListParagraph"/>
        <w:numPr>
          <w:ilvl w:val="0"/>
          <w:numId w:val="2"/>
        </w:numPr>
        <w:spacing w:after="80"/>
      </w:pPr>
      <w:r>
        <w:t xml:space="preserve">llms.txt for each of the three domains</w:t>
      </w:r>
    </w:p>
    <w:p>
      <w:r>
        <w:br w:type="page"/>
      </w: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Version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1.0</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Status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Canonical — supersedes all prior positioning documents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Issue date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May 28, 2026</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Owner</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Souhimbou Doh Kone, Founder &amp; Principal Security Architect</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Distribution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Internal — NouchiX team, accelerator squad, QCL outreach team, legal counsel</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Review cadence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Quarterly, or upon material change to product architecture, IP structure, or domain mapping</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Classification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Internal Use — Confidential</w:t>
            </w:r>
          </w:p>
        </w:tc>
      </w:tr>
    </w:tbl>
    <w:p>
      <w:r>
        <w:t xml:space="preserve"/>
      </w:r>
    </w:p>
    <w:p>
      <w:pPr>
        <w:spacing w:after="120"/>
      </w:pPr>
      <w:r>
        <w:rPr>
          <w:b/>
          <w:bCs/>
          <w:i/>
          <w:iCs/>
        </w:rPr>
        <w:t xml:space="preserve">This document is the source of truth. When in doubt, refer to this document. When a sales conversation, partner brief, pitch deck, or marketing artifact diverges from this document, update the artifact, not this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395"/>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KHEPRA Four-Layer Architecture</dc:title>
  <dc:creator>SecRed Knowledge Inc. (NouchiX)</dc:creator>
  <dc:description>Canonical source of truth for product, positioning, and domain mapping</dc:description>
  <cp:lastModifiedBy>Un-named</cp:lastModifiedBy>
  <cp:revision>1</cp:revision>
  <dcterms:created xsi:type="dcterms:W3CDTF">2026-05-29T00:24:27.250Z</dcterms:created>
  <dcterms:modified xsi:type="dcterms:W3CDTF">2026-05-29T00:24:27.250Z</dcterms:modified>
</cp:coreProperties>
</file>

<file path=docProps/custom.xml><?xml version="1.0" encoding="utf-8"?>
<Properties xmlns="http://schemas.openxmlformats.org/officeDocument/2006/custom-properties" xmlns:vt="http://schemas.openxmlformats.org/officeDocument/2006/docPropsVTypes"/>
</file>