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SecRed Knowledge Inc.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Investment Milestone &amp; Tranche Terms — LOI Red-Line Draft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Prepared for counsel review  •  Draft for negotiation  •  Not legal advice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Values shown in [brackets] are placeholders to confirm.</w:t>
      </w:r>
    </w:p>
    <w:p>
      <w:pPr>
        <w:pBdr>
          <w:bottom w:val="single" w:color="BFBFBF" w:sz="6" w:space="1"/>
        </w:pBdr>
        <w:spacing w:after="160" w:before="12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following clauses set out the tranche and milestone structure for the proposed investment (US$400,000 for 7.0% equity, milestone-based). They are drafted to be inserted into the Letter of Intent and carried into the definitive agreements. The governing principle throughout: each performance tranche is released against a verifiable business outcome the Company controls — not an administrative approval or third-party certification whose timing neither party controls.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X.1   Investment and Equity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Investor shall invest US$400,000 (the “Investment”) in exchange for 7.0% of the fully-diluted equity of SecRed Knowledge Inc., a Delaware corporation (the “Company”). The valuation, ownership percentage, and the milestone definitions in this Section are fixed as of the date of the definitive agreements and shall not be re-priced or re-negotiated upon release of any tranche.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X.2   Tranche Structure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Investment is funded in one Closing Tranche and three Performance Tranches: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Closing Tranche — US$100,000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Performance Tranche 1 (M1) — US$100,000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Performance Tranche 2 (M2) — US$100,000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Performance Tranche 3 (M3) — US$100,000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Alternative ladders the Company will accept: (A) two Performance Tranches of $150,000 gated on M1 and M3; or (C) a four-step schedule of $100,000 / $80,000 / $70,000 / $50,000 adding M4. The gating principle in § X.4 is identical across all three.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X.3   Closing Tranche; Closing Conditions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Closing Tranche shall be funded within [10] business days of the later of (a) execution of the definitive agreements and (b) confirmation of registration of the Company’s [UAE subsidiary].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These are closing conditions, not performance milestones,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no operational milestone shall condition the Closing Tranche.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X.4   Milestone Principle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Each Performance Tranche is conditioned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solely on a verifiable business outcome within the Company’s control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that de-risks the Investment. No tranche shall be conditioned on any governmental approval, certification, accreditation, or other third-party adjudication whose timing is outside the Company’s control — including, without limitation, SDVOSB certification, SAM.gov / UEI registration, Iron Bank / Repo One approval, or any grant or award decision.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X.5   Milestone Definitions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M1 — First Paid Engagement: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execution of a bona fide agreement with an unaffiliated customer for the Company’s products or services for cash consideration of not less than US$[45,000].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M2 — Delivery of Value: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delivery to a paying customer, under an executed agreement, of the Company’s completed compliance evidence / attestation deliverable.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M3 — Repeatability: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any one of (i) a second unaffiliated paying customer; (ii) conversion of a pilot to an annual license; or (iii) cumulative bookings of not less than US$[100,000].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M4 (Option C only):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cumulative bookings of not less than US$[200,000].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X.6   Evidence and Determination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milestone is satisfied upon delivery to the Investor of the specified evidence — for M1 / M3, the countersigned agreement(s) and corresponding invoice(s); for M2, the executed agreement and confirmation of deliverable.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Upon delivery, the milestone is deemed satisfied unless, within [10] business days, the Investor delivers a written, reasonably detailed objection identifying the specific deficiency. Absent a timely objection, the milestone is conclusively deemed satisfied.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X.7   Funding Deadline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Investor shall fund the corresponding Performance Tranche within [10] business days after the milestone is satisfied or deemed satisfied.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X.8   Remedy for Failure to Fund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If the Investor fails to fund a satisfied (or deemed-satisfied) tranche when due and does not cure within [10] business days of written notice: (a) all remaining milestone conditions lapse and remaining committed amounts become payable on demand [or, at the Company’s election, the Investor’s remaining commitment terminates]; (b) the Company may raise the unfunded amount from third parties free of any exclusivity, right of first refusal, pro-rata, information, or anti-dilution restriction otherwise granted to the Investor; and (c) the Investor’s board, observer, and information rights are suspended until cured.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X.9   Long-Stop Date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Any Performance Tranche not funded on or before [18–24] months after Closing is extinguished; the Company has no further obligation, and the Investor no further right, as to that unfunded amount.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[Confirm with counsel whether equity is issued in full at Closing or per-tranche; if per-tranche, address issuance mechanics here.]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X.10   Timing Extensions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Milestone target dates and the Long-Stop Date extend day-for-day for delays outside the Company’s reasonable control, including force majeure and delays by customer or governmental counterparties.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X.11   Dispute Resolution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Any dispute over milestone satisfaction unresolved within [15] business days is referred to [the Company’s independent accountant / a mutually agreed independent expert], whose determination is final and binding; the Investor’s agreement shall not be unreasonably withheld.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§ X.12   Equity Confirmation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 the avoidance of doubt, the 7.0% is issued in SecRed Knowledge Inc. (the Delaware parent), which holds the exclusive IP license and the Company’s SDVOSB eligibility; no subsidiary equity is granted hereby.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Drafting Notes</w:t>
      </w:r>
    </w:p>
    <w:p>
      <w:pPr>
        <w:spacing w:after="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For the Company and its counsel — not part of the operative terms.</w:t>
      </w:r>
    </w:p>
    <w:p>
      <w:pPr>
        <w:pBdr>
          <w:bottom w:val="single" w:color="BFBFBF" w:sz="6" w:space="1"/>
        </w:pBdr>
        <w:spacing w:after="160" w:before="12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Not legal advice.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is a negotiating draft and drafting starting point. The determination mechanism (§ X.6), the failure-to-fund remedy (§ X.8), and the equity-issuance timing (§ X.9) should be papered by counsel — that language is where these deals live or die.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Priorities in negotiation.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Hold firm on § X.4 (principle), § X.6 (deemed-satisfied window), § X.8 (failure-to-fund remedy), and § X.9 (long-stop). Tradeable: the exact dollar thresholds in § X.5, the [10]-day windows, and whether the ladder is A / B / C. Give ground on the numbers to hold the mechanism.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Values to confirm.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Subsidiary jurisdiction and name (§ X.3, § X.12); M1 / M3 dollar thresholds (§ X.5); all [ ]-day windows; long-stop period (§ X.9); and the independent-expert / accountant identity (§ X.11).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Written confirmation.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Before signing, confirm in writing that the 7.0% is in SecRed Knowledge Inc. (the Delaware parent), consistent with § X.12.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Milestone &amp; Tranche Terms — LOI Red-Line Draft</dc:title>
  <dc:creator>SecRed Knowledge Inc.</dc:creator>
  <cp:lastModifiedBy>Un-named</cp:lastModifiedBy>
  <cp:revision>1</cp:revision>
  <dcterms:created xsi:type="dcterms:W3CDTF">2026-07-07T07:52:50.160Z</dcterms:created>
  <dcterms:modified xsi:type="dcterms:W3CDTF">2026-07-07T07:52:50.160Z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