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A9222" w14:textId="080FFFA8" w:rsidR="00477C6B" w:rsidRPr="004D7076" w:rsidRDefault="00477C6B" w:rsidP="00477C6B">
      <w:pPr>
        <w:rPr>
          <w:b/>
          <w:bCs/>
          <w:lang w:val="en-US"/>
        </w:rPr>
      </w:pPr>
      <w:r>
        <w:rPr>
          <w:b/>
          <w:bCs/>
          <w:lang w:val="en-US"/>
        </w:rPr>
        <w:t>DIAGRAMS/DRAWING FOR</w:t>
      </w:r>
      <w:r w:rsidRPr="00477C6B">
        <w:rPr>
          <w:b/>
          <w:bCs/>
          <w:lang w:val="en-US"/>
        </w:rPr>
        <w:t xml:space="preserve"> </w:t>
      </w:r>
      <w:r w:rsidRPr="004D7076">
        <w:rPr>
          <w:b/>
          <w:bCs/>
          <w:lang w:val="en-US"/>
        </w:rPr>
        <w:t>PROVISIONAL APPLICATION</w:t>
      </w:r>
      <w:r>
        <w:rPr>
          <w:b/>
          <w:bCs/>
          <w:lang w:val="en-US"/>
        </w:rPr>
        <w:t xml:space="preserve"> </w:t>
      </w:r>
      <w:r w:rsidRPr="00477C6B">
        <w:rPr>
          <w:b/>
          <w:bCs/>
          <w:lang w:val="en-US"/>
        </w:rPr>
        <w:t>ID 73565085</w:t>
      </w:r>
    </w:p>
    <w:p w14:paraId="5ACBCF37" w14:textId="77777777" w:rsidR="006D77C5" w:rsidRPr="006D77C5" w:rsidRDefault="006D77C5" w:rsidP="006D77C5">
      <w:pPr>
        <w:spacing w:after="0" w:line="240" w:lineRule="auto"/>
        <w:rPr>
          <w:b/>
          <w:bCs/>
          <w:lang w:val="en-US"/>
        </w:rPr>
      </w:pPr>
      <w:r w:rsidRPr="006D77C5">
        <w:rPr>
          <w:b/>
          <w:bCs/>
          <w:lang w:val="en-US"/>
        </w:rPr>
        <w:t>A. General Architecture and Overview</w:t>
      </w:r>
    </w:p>
    <w:p w14:paraId="57D9602C" w14:textId="77777777" w:rsidR="006D77C5" w:rsidRPr="006D77C5" w:rsidRDefault="006D77C5" w:rsidP="006D77C5">
      <w:pPr>
        <w:spacing w:after="0" w:line="240" w:lineRule="auto"/>
        <w:rPr>
          <w:lang w:val="en-US"/>
        </w:rPr>
      </w:pPr>
    </w:p>
    <w:p w14:paraId="494B671A" w14:textId="77777777" w:rsidR="006D77C5" w:rsidRPr="006D77C5" w:rsidRDefault="006D77C5" w:rsidP="006D77C5">
      <w:pPr>
        <w:spacing w:after="0" w:line="240" w:lineRule="auto"/>
        <w:rPr>
          <w:lang w:val="en-US"/>
        </w:rPr>
      </w:pPr>
      <w:r w:rsidRPr="006D77C5">
        <w:rPr>
          <w:lang w:val="en-US"/>
        </w:rPr>
        <w:t>FIG. 1 — Illustrates the Overall KHEPRA System Architecture and data flow, showing the dependency sequence from the Symbol Layer to the Zero Trust Engine.</w:t>
      </w:r>
    </w:p>
    <w:p w14:paraId="6CBF3898" w14:textId="77777777" w:rsidR="006D77C5" w:rsidRPr="006D77C5" w:rsidRDefault="006D77C5" w:rsidP="006D77C5">
      <w:pPr>
        <w:spacing w:after="0" w:line="240" w:lineRule="auto"/>
        <w:rPr>
          <w:lang w:val="en-US"/>
        </w:rPr>
      </w:pPr>
      <w:r w:rsidRPr="006D77C5">
        <w:rPr>
          <w:lang w:val="en-US"/>
        </w:rPr>
        <w:t>B. Adinkra Algebraic Encoding (AAE) and QKE Protocol</w:t>
      </w:r>
    </w:p>
    <w:p w14:paraId="7EEB0B7D" w14:textId="77777777" w:rsidR="006D77C5" w:rsidRPr="006D77C5" w:rsidRDefault="006D77C5" w:rsidP="006D77C5">
      <w:pPr>
        <w:spacing w:after="0" w:line="240" w:lineRule="auto"/>
        <w:rPr>
          <w:lang w:val="en-US"/>
        </w:rPr>
      </w:pPr>
    </w:p>
    <w:p w14:paraId="1A24A662" w14:textId="77777777" w:rsidR="006D77C5" w:rsidRPr="006D77C5" w:rsidRDefault="006D77C5" w:rsidP="006D77C5">
      <w:pPr>
        <w:spacing w:after="0" w:line="240" w:lineRule="auto"/>
        <w:rPr>
          <w:lang w:val="en-US"/>
        </w:rPr>
      </w:pPr>
      <w:r w:rsidRPr="006D77C5">
        <w:rPr>
          <w:lang w:val="en-US"/>
        </w:rPr>
        <w:t xml:space="preserve">FIG. 2 — Details the Adinkra Algebraic Encoding (AAE), mapping the bipartite graph structures of key symbols (Eban, </w:t>
      </w:r>
      <w:proofErr w:type="spellStart"/>
      <w:r w:rsidRPr="006D77C5">
        <w:rPr>
          <w:lang w:val="en-US"/>
        </w:rPr>
        <w:t>Fawohodie</w:t>
      </w:r>
      <w:proofErr w:type="spellEnd"/>
      <w:r w:rsidRPr="006D77C5">
        <w:rPr>
          <w:lang w:val="en-US"/>
        </w:rPr>
        <w:t xml:space="preserve">, </w:t>
      </w:r>
      <w:proofErr w:type="spellStart"/>
      <w:r w:rsidRPr="006D77C5">
        <w:rPr>
          <w:lang w:val="en-US"/>
        </w:rPr>
        <w:t>Nkyinkyim</w:t>
      </w:r>
      <w:proofErr w:type="spellEnd"/>
      <w:r w:rsidRPr="006D77C5">
        <w:rPr>
          <w:lang w:val="en-US"/>
        </w:rPr>
        <w:t>) to their algebraic representations and the $\</w:t>
      </w:r>
      <w:proofErr w:type="spellStart"/>
      <w:r w:rsidRPr="006D77C5">
        <w:rPr>
          <w:lang w:val="en-US"/>
        </w:rPr>
        <w:t>mathbf</w:t>
      </w:r>
      <w:proofErr w:type="spellEnd"/>
      <w:r w:rsidRPr="006D77C5">
        <w:rPr>
          <w:lang w:val="en-US"/>
        </w:rPr>
        <w:t>{D_</w:t>
      </w:r>
      <w:proofErr w:type="gramStart"/>
      <w:r w:rsidRPr="006D77C5">
        <w:rPr>
          <w:lang w:val="en-US"/>
        </w:rPr>
        <w:t>8}$</w:t>
      </w:r>
      <w:proofErr w:type="gramEnd"/>
      <w:r w:rsidRPr="006D77C5">
        <w:rPr>
          <w:lang w:val="en-US"/>
        </w:rPr>
        <w:t xml:space="preserve"> Dihedral Group operations.</w:t>
      </w:r>
    </w:p>
    <w:p w14:paraId="7BFF3E94" w14:textId="77777777" w:rsidR="006D77C5" w:rsidRDefault="006D77C5" w:rsidP="006D77C5">
      <w:pPr>
        <w:spacing w:after="0" w:line="240" w:lineRule="auto"/>
        <w:rPr>
          <w:lang w:val="en-US"/>
        </w:rPr>
      </w:pPr>
    </w:p>
    <w:p w14:paraId="0B0FCDB4" w14:textId="1E92ACE3" w:rsidR="006D77C5" w:rsidRPr="006D77C5" w:rsidRDefault="006D77C5" w:rsidP="006D77C5">
      <w:pPr>
        <w:spacing w:after="0" w:line="240" w:lineRule="auto"/>
        <w:rPr>
          <w:lang w:val="en-US"/>
        </w:rPr>
      </w:pPr>
      <w:r w:rsidRPr="006D77C5">
        <w:rPr>
          <w:lang w:val="en-US"/>
        </w:rPr>
        <w:t>FIG. 3 — Provides the flow chart for the Symbol-Derived Key Generation Pipeline, showing the process from Adinkra Symbol selection to the derivation of the entropy seed, candidate primes, and the final $\</w:t>
      </w:r>
      <w:proofErr w:type="spellStart"/>
      <w:proofErr w:type="gramStart"/>
      <w:r w:rsidRPr="006D77C5">
        <w:rPr>
          <w:lang w:val="en-US"/>
        </w:rPr>
        <w:t>mathbf</w:t>
      </w:r>
      <w:proofErr w:type="spellEnd"/>
      <w:r w:rsidRPr="006D77C5">
        <w:rPr>
          <w:lang w:val="en-US"/>
        </w:rPr>
        <w:t>{</w:t>
      </w:r>
      <w:proofErr w:type="gramEnd"/>
      <w:r w:rsidRPr="006D77C5">
        <w:rPr>
          <w:lang w:val="en-US"/>
        </w:rPr>
        <w:t>KHEPRA}$ Key Material.</w:t>
      </w:r>
    </w:p>
    <w:p w14:paraId="3B6AFE92" w14:textId="77777777" w:rsidR="006D77C5" w:rsidRDefault="006D77C5" w:rsidP="006D77C5">
      <w:pPr>
        <w:spacing w:after="0" w:line="240" w:lineRule="auto"/>
        <w:rPr>
          <w:lang w:val="en-US"/>
        </w:rPr>
      </w:pPr>
    </w:p>
    <w:p w14:paraId="423FE17B" w14:textId="77777777" w:rsidR="006D77C5" w:rsidRDefault="006D77C5" w:rsidP="006D77C5">
      <w:pPr>
        <w:spacing w:line="240" w:lineRule="auto"/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val="en-US" w:eastAsia="fr-FR"/>
          <w14:ligatures w14:val="none"/>
        </w:rPr>
      </w:pPr>
      <w:r w:rsidRPr="006D77C5">
        <w:rPr>
          <w:lang w:val="en-US"/>
        </w:rPr>
        <w:t>FIG. 4 — Illustrates the Post-Quantum Key Exchange Flow (ML-KEM-ready), showing the four-step sequence between Agent A and Agent B, and the final derivation of the shared keys ${k_{\text{enc}}, k_{\text{auth}}, k_{\text{audit}</w:t>
      </w:r>
      <w:proofErr w:type="gramStart"/>
      <w:r w:rsidRPr="006D77C5">
        <w:rPr>
          <w:lang w:val="en-US"/>
        </w:rPr>
        <w:t>}}$</w:t>
      </w:r>
      <w:proofErr w:type="gramEnd"/>
      <w:r w:rsidRPr="006D77C5">
        <w:rPr>
          <w:lang w:val="en-US"/>
        </w:rPr>
        <w:t xml:space="preserve"> bound to symbolic salts.</w:t>
      </w:r>
      <w:r w:rsidRPr="006D77C5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val="en-US" w:eastAsia="fr-FR"/>
          <w14:ligatures w14:val="none"/>
        </w:rPr>
        <w:t xml:space="preserve"> </w:t>
      </w:r>
    </w:p>
    <w:p w14:paraId="28C5BC95" w14:textId="77777777" w:rsidR="006D77C5" w:rsidRDefault="006D77C5" w:rsidP="006D77C5">
      <w:pPr>
        <w:spacing w:line="240" w:lineRule="auto"/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val="en-US" w:eastAsia="fr-FR"/>
          <w14:ligatures w14:val="none"/>
        </w:rPr>
      </w:pPr>
    </w:p>
    <w:p w14:paraId="2D738664" w14:textId="5C584AF1" w:rsidR="006D77C5" w:rsidRPr="006D77C5" w:rsidRDefault="006D77C5" w:rsidP="006D77C5">
      <w:pPr>
        <w:spacing w:line="240" w:lineRule="auto"/>
        <w:rPr>
          <w:lang w:val="en-US"/>
        </w:rPr>
      </w:pPr>
      <w:r w:rsidRPr="006D77C5">
        <w:rPr>
          <w:b/>
          <w:bCs/>
          <w:lang w:val="en-US"/>
        </w:rPr>
        <w:t>B. Adinkra Algebraic Encoding (AAE) and QKE Protocol</w:t>
      </w:r>
    </w:p>
    <w:p w14:paraId="43F77EB3" w14:textId="77777777" w:rsidR="006D77C5" w:rsidRPr="006D77C5" w:rsidRDefault="006D77C5" w:rsidP="006D77C5">
      <w:pPr>
        <w:numPr>
          <w:ilvl w:val="0"/>
          <w:numId w:val="6"/>
        </w:numPr>
        <w:spacing w:after="0" w:line="240" w:lineRule="auto"/>
        <w:rPr>
          <w:lang w:val="en-US"/>
        </w:rPr>
      </w:pPr>
      <w:r w:rsidRPr="006D77C5">
        <w:rPr>
          <w:lang w:val="en-US"/>
        </w:rPr>
        <w:t xml:space="preserve">FIG. 2 — Details the Adinkra Algebraic Encoding (AAE), mapping the bipartite graph structures of key symbols (Eban, </w:t>
      </w:r>
      <w:proofErr w:type="spellStart"/>
      <w:r w:rsidRPr="006D77C5">
        <w:rPr>
          <w:lang w:val="en-US"/>
        </w:rPr>
        <w:t>Fawohodie</w:t>
      </w:r>
      <w:proofErr w:type="spellEnd"/>
      <w:r w:rsidRPr="006D77C5">
        <w:rPr>
          <w:lang w:val="en-US"/>
        </w:rPr>
        <w:t xml:space="preserve">, </w:t>
      </w:r>
      <w:proofErr w:type="spellStart"/>
      <w:r w:rsidRPr="006D77C5">
        <w:rPr>
          <w:lang w:val="en-US"/>
        </w:rPr>
        <w:t>Nkyinkyim</w:t>
      </w:r>
      <w:proofErr w:type="spellEnd"/>
      <w:r w:rsidRPr="006D77C5">
        <w:rPr>
          <w:lang w:val="en-US"/>
        </w:rPr>
        <w:t>) to their algebraic representations and the $\</w:t>
      </w:r>
      <w:proofErr w:type="spellStart"/>
      <w:r w:rsidRPr="006D77C5">
        <w:rPr>
          <w:lang w:val="en-US"/>
        </w:rPr>
        <w:t>mathbf</w:t>
      </w:r>
      <w:proofErr w:type="spellEnd"/>
      <w:r w:rsidRPr="006D77C5">
        <w:rPr>
          <w:lang w:val="en-US"/>
        </w:rPr>
        <w:t>{D_</w:t>
      </w:r>
      <w:proofErr w:type="gramStart"/>
      <w:r w:rsidRPr="006D77C5">
        <w:rPr>
          <w:lang w:val="en-US"/>
        </w:rPr>
        <w:t>8}$</w:t>
      </w:r>
      <w:proofErr w:type="gramEnd"/>
      <w:r w:rsidRPr="006D77C5">
        <w:rPr>
          <w:lang w:val="en-US"/>
        </w:rPr>
        <w:t xml:space="preserve"> Dihedral Group operations.</w:t>
      </w:r>
    </w:p>
    <w:p w14:paraId="08C460BD" w14:textId="77777777" w:rsidR="006D77C5" w:rsidRPr="006D77C5" w:rsidRDefault="006D77C5" w:rsidP="006D77C5">
      <w:pPr>
        <w:numPr>
          <w:ilvl w:val="0"/>
          <w:numId w:val="6"/>
        </w:numPr>
        <w:spacing w:after="0" w:line="240" w:lineRule="auto"/>
        <w:rPr>
          <w:lang w:val="en-US"/>
        </w:rPr>
      </w:pPr>
      <w:r w:rsidRPr="006D77C5">
        <w:rPr>
          <w:lang w:val="en-US"/>
        </w:rPr>
        <w:t>FIG. 3 — Provides the flow chart for the Symbol-Derived Key Generation Pipeline, showing the process from Adinkra Symbol selection to the derivation of the entropy seed, candidate primes, and the final $\</w:t>
      </w:r>
      <w:proofErr w:type="spellStart"/>
      <w:proofErr w:type="gramStart"/>
      <w:r w:rsidRPr="006D77C5">
        <w:rPr>
          <w:lang w:val="en-US"/>
        </w:rPr>
        <w:t>mathbf</w:t>
      </w:r>
      <w:proofErr w:type="spellEnd"/>
      <w:r w:rsidRPr="006D77C5">
        <w:rPr>
          <w:lang w:val="en-US"/>
        </w:rPr>
        <w:t>{</w:t>
      </w:r>
      <w:proofErr w:type="gramEnd"/>
      <w:r w:rsidRPr="006D77C5">
        <w:rPr>
          <w:lang w:val="en-US"/>
        </w:rPr>
        <w:t>KHEPRA}$ Key Material.</w:t>
      </w:r>
    </w:p>
    <w:p w14:paraId="70BFDF9D" w14:textId="77777777" w:rsidR="006D77C5" w:rsidRPr="006D77C5" w:rsidRDefault="006D77C5" w:rsidP="006D77C5">
      <w:pPr>
        <w:numPr>
          <w:ilvl w:val="0"/>
          <w:numId w:val="6"/>
        </w:numPr>
        <w:spacing w:after="0" w:line="240" w:lineRule="auto"/>
        <w:rPr>
          <w:lang w:val="en-US"/>
        </w:rPr>
      </w:pPr>
      <w:r w:rsidRPr="006D77C5">
        <w:rPr>
          <w:lang w:val="en-US"/>
        </w:rPr>
        <w:t>FIG. 4 — Illustrates the Post-Quantum Key Exchange Flow (ML-KEM-ready), showing the four-step sequence between Agent A and Agent B, and the final derivation of the shared keys ${k_{\text{enc}}, k_{\text{auth}}, k_{\text{audit}</w:t>
      </w:r>
      <w:proofErr w:type="gramStart"/>
      <w:r w:rsidRPr="006D77C5">
        <w:rPr>
          <w:lang w:val="en-US"/>
        </w:rPr>
        <w:t>}}$</w:t>
      </w:r>
      <w:proofErr w:type="gramEnd"/>
      <w:r w:rsidRPr="006D77C5">
        <w:rPr>
          <w:lang w:val="en-US"/>
        </w:rPr>
        <w:t xml:space="preserve"> bound to symbolic salts.</w:t>
      </w:r>
    </w:p>
    <w:p w14:paraId="49DD569F" w14:textId="77777777" w:rsidR="006D77C5" w:rsidRDefault="006D77C5" w:rsidP="006D77C5">
      <w:pPr>
        <w:spacing w:after="0" w:line="240" w:lineRule="auto"/>
        <w:rPr>
          <w:b/>
          <w:bCs/>
          <w:lang w:val="en-US"/>
        </w:rPr>
      </w:pPr>
    </w:p>
    <w:p w14:paraId="7AEF7EAA" w14:textId="77777777" w:rsidR="006D77C5" w:rsidRDefault="006D77C5" w:rsidP="006D77C5">
      <w:pPr>
        <w:spacing w:after="0" w:line="240" w:lineRule="auto"/>
        <w:rPr>
          <w:b/>
          <w:bCs/>
          <w:lang w:val="en-US"/>
        </w:rPr>
      </w:pPr>
    </w:p>
    <w:p w14:paraId="29E05BD0" w14:textId="4B50EF0C" w:rsidR="006D77C5" w:rsidRPr="006D77C5" w:rsidRDefault="006D77C5" w:rsidP="006D77C5">
      <w:pPr>
        <w:spacing w:after="0" w:line="240" w:lineRule="auto"/>
        <w:rPr>
          <w:b/>
          <w:bCs/>
          <w:lang w:val="en-US"/>
        </w:rPr>
      </w:pPr>
      <w:r w:rsidRPr="006D77C5">
        <w:rPr>
          <w:b/>
          <w:bCs/>
          <w:lang w:val="en-US"/>
        </w:rPr>
        <w:t>C. Agent Consensus Protocol (ACP) and Validation</w:t>
      </w:r>
    </w:p>
    <w:p w14:paraId="1F2EFE86" w14:textId="77777777" w:rsidR="006D77C5" w:rsidRPr="006D77C5" w:rsidRDefault="006D77C5" w:rsidP="006D77C5">
      <w:pPr>
        <w:spacing w:after="0" w:line="240" w:lineRule="auto"/>
        <w:rPr>
          <w:lang w:val="en-US"/>
        </w:rPr>
      </w:pPr>
    </w:p>
    <w:p w14:paraId="68E72ADA" w14:textId="77777777" w:rsidR="006D77C5" w:rsidRPr="006D77C5" w:rsidRDefault="006D77C5" w:rsidP="006D77C5">
      <w:pPr>
        <w:spacing w:after="0" w:line="240" w:lineRule="auto"/>
        <w:rPr>
          <w:lang w:val="en-US"/>
        </w:rPr>
      </w:pPr>
      <w:r w:rsidRPr="006D77C5">
        <w:rPr>
          <w:lang w:val="en-US"/>
        </w:rPr>
        <w:t>FIG. 5 — Depicts the structure of the Agent Consensus Protocol (ACP) DAG, showing transaction vertices (Tx) linked by causal arrows, and illustrating how conflicts are resolved based on the Glyph Precedence Rules ($\</w:t>
      </w:r>
      <w:proofErr w:type="gramStart"/>
      <w:r w:rsidRPr="006D77C5">
        <w:rPr>
          <w:lang w:val="en-US"/>
        </w:rPr>
        <w:t>text{</w:t>
      </w:r>
      <w:proofErr w:type="gramEnd"/>
      <w:r w:rsidRPr="006D77C5">
        <w:rPr>
          <w:lang w:val="en-US"/>
        </w:rPr>
        <w:t>Eban} &gt; \</w:t>
      </w:r>
      <w:proofErr w:type="gramStart"/>
      <w:r w:rsidRPr="006D77C5">
        <w:rPr>
          <w:lang w:val="en-US"/>
        </w:rPr>
        <w:t>text{</w:t>
      </w:r>
      <w:proofErr w:type="gramEnd"/>
      <w:r w:rsidRPr="006D77C5">
        <w:rPr>
          <w:lang w:val="en-US"/>
        </w:rPr>
        <w:t>Fawohodie} &gt; \</w:t>
      </w:r>
      <w:proofErr w:type="gramStart"/>
      <w:r w:rsidRPr="006D77C5">
        <w:rPr>
          <w:lang w:val="en-US"/>
        </w:rPr>
        <w:t>text{</w:t>
      </w:r>
      <w:proofErr w:type="spellStart"/>
      <w:proofErr w:type="gramEnd"/>
      <w:r w:rsidRPr="006D77C5">
        <w:rPr>
          <w:lang w:val="en-US"/>
        </w:rPr>
        <w:t>Nkyinkyim</w:t>
      </w:r>
      <w:proofErr w:type="spellEnd"/>
      <w:r w:rsidRPr="006D77C5">
        <w:rPr>
          <w:lang w:val="en-US"/>
        </w:rPr>
        <w:t>}$).</w:t>
      </w:r>
    </w:p>
    <w:p w14:paraId="0763D4AD" w14:textId="77777777" w:rsidR="006D77C5" w:rsidRPr="006D77C5" w:rsidRDefault="006D77C5" w:rsidP="006D77C5">
      <w:pPr>
        <w:spacing w:after="0" w:line="240" w:lineRule="auto"/>
        <w:rPr>
          <w:lang w:val="en-US"/>
        </w:rPr>
      </w:pPr>
      <w:r w:rsidRPr="006D77C5">
        <w:rPr>
          <w:lang w:val="en-US"/>
        </w:rPr>
        <w:t>FIG. 6 — Is the Lorentz-Invariant Timestamping Diagram, showing the spacetime cone used by the Physics-Inspired Validation Layer to enforce causality by checking that actions remain within the causally allowed region ($\Delta s^2 \</w:t>
      </w:r>
      <w:proofErr w:type="spellStart"/>
      <w:r w:rsidRPr="006D77C5">
        <w:rPr>
          <w:lang w:val="en-US"/>
        </w:rPr>
        <w:t>ge</w:t>
      </w:r>
      <w:proofErr w:type="spellEnd"/>
      <w:r w:rsidRPr="006D77C5">
        <w:rPr>
          <w:lang w:val="en-US"/>
        </w:rPr>
        <w:t xml:space="preserve"> 0$).</w:t>
      </w:r>
    </w:p>
    <w:p w14:paraId="6FAA80B6" w14:textId="77777777" w:rsidR="006D77C5" w:rsidRDefault="006D77C5" w:rsidP="006D77C5">
      <w:pPr>
        <w:spacing w:after="0" w:line="240" w:lineRule="auto"/>
        <w:rPr>
          <w:lang w:val="en-US"/>
        </w:rPr>
      </w:pPr>
    </w:p>
    <w:p w14:paraId="7EAE3E6E" w14:textId="77777777" w:rsidR="006D77C5" w:rsidRDefault="006D77C5">
      <w:pPr>
        <w:rPr>
          <w:lang w:val="en-US"/>
        </w:rPr>
      </w:pPr>
      <w:r>
        <w:rPr>
          <w:lang w:val="en-US"/>
        </w:rPr>
        <w:br w:type="page"/>
      </w:r>
    </w:p>
    <w:p w14:paraId="1BE29E68" w14:textId="7B18BA41" w:rsidR="006D77C5" w:rsidRPr="006D77C5" w:rsidRDefault="006D77C5" w:rsidP="006D77C5">
      <w:pPr>
        <w:spacing w:after="0" w:line="240" w:lineRule="auto"/>
        <w:rPr>
          <w:b/>
          <w:bCs/>
          <w:lang w:val="en-US"/>
        </w:rPr>
      </w:pPr>
      <w:r w:rsidRPr="006D77C5">
        <w:rPr>
          <w:b/>
          <w:bCs/>
          <w:lang w:val="en-US"/>
        </w:rPr>
        <w:lastRenderedPageBreak/>
        <w:t>D. Zero Trust Integration and Use Cases</w:t>
      </w:r>
    </w:p>
    <w:p w14:paraId="5FE3C00A" w14:textId="77777777" w:rsidR="006D77C5" w:rsidRPr="006D77C5" w:rsidRDefault="006D77C5" w:rsidP="006D77C5">
      <w:pPr>
        <w:spacing w:after="0" w:line="240" w:lineRule="auto"/>
        <w:rPr>
          <w:lang w:val="en-US"/>
        </w:rPr>
      </w:pPr>
    </w:p>
    <w:p w14:paraId="3F4B2BAE" w14:textId="77777777" w:rsidR="006D77C5" w:rsidRPr="006D77C5" w:rsidRDefault="006D77C5" w:rsidP="006D77C5">
      <w:pPr>
        <w:spacing w:after="0" w:line="240" w:lineRule="auto"/>
        <w:rPr>
          <w:lang w:val="en-US"/>
        </w:rPr>
      </w:pPr>
      <w:r w:rsidRPr="006D77C5">
        <w:rPr>
          <w:lang w:val="en-US"/>
        </w:rPr>
        <w:t>FIG. 7 — Illustrates the continuous flow diagram of the Zero Trust Engine, detailing the $\</w:t>
      </w:r>
      <w:proofErr w:type="spellStart"/>
      <w:proofErr w:type="gramStart"/>
      <w:r w:rsidRPr="006D77C5">
        <w:rPr>
          <w:lang w:val="en-US"/>
        </w:rPr>
        <w:t>mathbf</w:t>
      </w:r>
      <w:proofErr w:type="spellEnd"/>
      <w:r w:rsidRPr="006D77C5">
        <w:rPr>
          <w:lang w:val="en-US"/>
        </w:rPr>
        <w:t>{</w:t>
      </w:r>
      <w:proofErr w:type="gramEnd"/>
      <w:r w:rsidRPr="006D77C5">
        <w:rPr>
          <w:lang w:val="en-US"/>
        </w:rPr>
        <w:t>Continuous}$ $\</w:t>
      </w:r>
      <w:proofErr w:type="spellStart"/>
      <w:proofErr w:type="gramStart"/>
      <w:r w:rsidRPr="006D77C5">
        <w:rPr>
          <w:lang w:val="en-US"/>
        </w:rPr>
        <w:t>mathbf</w:t>
      </w:r>
      <w:proofErr w:type="spellEnd"/>
      <w:r w:rsidRPr="006D77C5">
        <w:rPr>
          <w:lang w:val="en-US"/>
        </w:rPr>
        <w:t>{</w:t>
      </w:r>
      <w:proofErr w:type="gramEnd"/>
      <w:r w:rsidRPr="006D77C5">
        <w:rPr>
          <w:lang w:val="en-US"/>
        </w:rPr>
        <w:t>Authentication}$ $\</w:t>
      </w:r>
      <w:proofErr w:type="spellStart"/>
      <w:proofErr w:type="gramStart"/>
      <w:r w:rsidRPr="006D77C5">
        <w:rPr>
          <w:lang w:val="en-US"/>
        </w:rPr>
        <w:t>mathbf</w:t>
      </w:r>
      <w:proofErr w:type="spellEnd"/>
      <w:r w:rsidRPr="006D77C5">
        <w:rPr>
          <w:lang w:val="en-US"/>
        </w:rPr>
        <w:t>{</w:t>
      </w:r>
      <w:proofErr w:type="gramEnd"/>
      <w:r w:rsidRPr="006D77C5">
        <w:rPr>
          <w:lang w:val="en-US"/>
        </w:rPr>
        <w:t>Loop}$ from Initial Authentication to Token Refresh, Monitored State, and eventual Session Termination or Re-Authentication.</w:t>
      </w:r>
    </w:p>
    <w:p w14:paraId="2FC06E49" w14:textId="77777777" w:rsidR="006D77C5" w:rsidRDefault="006D77C5" w:rsidP="006D77C5">
      <w:pPr>
        <w:spacing w:after="0" w:line="240" w:lineRule="auto"/>
        <w:rPr>
          <w:lang w:val="en-US"/>
        </w:rPr>
      </w:pPr>
    </w:p>
    <w:p w14:paraId="41D78934" w14:textId="7D9DF4AC" w:rsidR="006D77C5" w:rsidRPr="006D77C5" w:rsidRDefault="006D77C5" w:rsidP="006D77C5">
      <w:pPr>
        <w:spacing w:after="0" w:line="240" w:lineRule="auto"/>
        <w:rPr>
          <w:lang w:val="en-US"/>
        </w:rPr>
      </w:pPr>
      <w:r w:rsidRPr="006D77C5">
        <w:rPr>
          <w:lang w:val="en-US"/>
        </w:rPr>
        <w:t>FIG. 8 — Shows a DoD Enclave Authentication Flow (Eban Handshake), detailing the use case where a Field Agent presents an $\</w:t>
      </w:r>
      <w:proofErr w:type="spellStart"/>
      <w:proofErr w:type="gramStart"/>
      <w:r w:rsidRPr="006D77C5">
        <w:rPr>
          <w:lang w:val="en-US"/>
        </w:rPr>
        <w:t>mathbf</w:t>
      </w:r>
      <w:proofErr w:type="spellEnd"/>
      <w:r w:rsidRPr="006D77C5">
        <w:rPr>
          <w:lang w:val="en-US"/>
        </w:rPr>
        <w:t>{</w:t>
      </w:r>
      <w:proofErr w:type="gramEnd"/>
      <w:r w:rsidRPr="006D77C5">
        <w:rPr>
          <w:lang w:val="en-US"/>
        </w:rPr>
        <w:t>Eban}$ $\</w:t>
      </w:r>
      <w:proofErr w:type="spellStart"/>
      <w:proofErr w:type="gramStart"/>
      <w:r w:rsidRPr="006D77C5">
        <w:rPr>
          <w:lang w:val="en-US"/>
        </w:rPr>
        <w:t>mathbf</w:t>
      </w:r>
      <w:proofErr w:type="spellEnd"/>
      <w:r w:rsidRPr="006D77C5">
        <w:rPr>
          <w:lang w:val="en-US"/>
        </w:rPr>
        <w:t>{</w:t>
      </w:r>
      <w:proofErr w:type="gramEnd"/>
      <w:r w:rsidRPr="006D77C5">
        <w:rPr>
          <w:lang w:val="en-US"/>
        </w:rPr>
        <w:t>Symbol-</w:t>
      </w:r>
      <w:proofErr w:type="gramStart"/>
      <w:r w:rsidRPr="006D77C5">
        <w:rPr>
          <w:lang w:val="en-US"/>
        </w:rPr>
        <w:t>Bound}$</w:t>
      </w:r>
      <w:proofErr w:type="gramEnd"/>
      <w:r w:rsidRPr="006D77C5">
        <w:rPr>
          <w:lang w:val="en-US"/>
        </w:rPr>
        <w:t xml:space="preserve"> $\</w:t>
      </w:r>
      <w:proofErr w:type="spellStart"/>
      <w:proofErr w:type="gramStart"/>
      <w:r w:rsidRPr="006D77C5">
        <w:rPr>
          <w:lang w:val="en-US"/>
        </w:rPr>
        <w:t>mathbf</w:t>
      </w:r>
      <w:proofErr w:type="spellEnd"/>
      <w:r w:rsidRPr="006D77C5">
        <w:rPr>
          <w:lang w:val="en-US"/>
        </w:rPr>
        <w:t>{</w:t>
      </w:r>
      <w:proofErr w:type="gramEnd"/>
      <w:r w:rsidRPr="006D77C5">
        <w:rPr>
          <w:lang w:val="en-US"/>
        </w:rPr>
        <w:t>Credential}$ to an Access Gateway, triggering a continuous monitoring loop and a policy decision based on the Trust Score.</w:t>
      </w:r>
    </w:p>
    <w:p w14:paraId="1932FBB0" w14:textId="77777777" w:rsidR="006D77C5" w:rsidRDefault="006D77C5" w:rsidP="006D77C5">
      <w:pPr>
        <w:spacing w:after="0" w:line="240" w:lineRule="auto"/>
        <w:rPr>
          <w:lang w:val="en-US"/>
        </w:rPr>
      </w:pPr>
    </w:p>
    <w:p w14:paraId="04B76550" w14:textId="0453AD7B" w:rsidR="006D77C5" w:rsidRPr="006D77C5" w:rsidRDefault="006D77C5" w:rsidP="006D77C5">
      <w:pPr>
        <w:spacing w:after="0" w:line="240" w:lineRule="auto"/>
        <w:rPr>
          <w:lang w:val="en-US"/>
        </w:rPr>
      </w:pPr>
      <w:r w:rsidRPr="006D77C5">
        <w:rPr>
          <w:lang w:val="en-US"/>
        </w:rPr>
        <w:t>FIG. 9 — Illustrates the SATCOM Adaptive Rekeying and Station Handoff use case, detailing the dual-key window ($K_0+K_1$ valid) and the use of the $\</w:t>
      </w:r>
      <w:proofErr w:type="spellStart"/>
      <w:proofErr w:type="gramStart"/>
      <w:r w:rsidRPr="006D77C5">
        <w:rPr>
          <w:lang w:val="en-US"/>
        </w:rPr>
        <w:t>mathbf</w:t>
      </w:r>
      <w:proofErr w:type="spellEnd"/>
      <w:r w:rsidRPr="006D77C5">
        <w:rPr>
          <w:lang w:val="en-US"/>
        </w:rPr>
        <w:t>{</w:t>
      </w:r>
      <w:proofErr w:type="spellStart"/>
      <w:proofErr w:type="gramEnd"/>
      <w:r w:rsidRPr="006D77C5">
        <w:rPr>
          <w:lang w:val="en-US"/>
        </w:rPr>
        <w:t>Nkyinkyim</w:t>
      </w:r>
      <w:proofErr w:type="spellEnd"/>
      <w:r w:rsidRPr="006D77C5">
        <w:rPr>
          <w:lang w:val="en-US"/>
        </w:rPr>
        <w:t>}$ symbol to trigger a rekey event based on factors like data volume or $\</w:t>
      </w:r>
      <w:proofErr w:type="gramStart"/>
      <w:r w:rsidRPr="006D77C5">
        <w:rPr>
          <w:lang w:val="en-US"/>
        </w:rPr>
        <w:t>text{</w:t>
      </w:r>
      <w:proofErr w:type="gramEnd"/>
      <w:r w:rsidRPr="006D77C5">
        <w:rPr>
          <w:lang w:val="en-US"/>
        </w:rPr>
        <w:t>BER}$ (Bit Error Rate).</w:t>
      </w:r>
    </w:p>
    <w:p w14:paraId="76CCEA4C" w14:textId="77777777" w:rsidR="006D77C5" w:rsidRDefault="006D77C5" w:rsidP="006D77C5">
      <w:pPr>
        <w:spacing w:after="0" w:line="240" w:lineRule="auto"/>
        <w:rPr>
          <w:lang w:val="en-US"/>
        </w:rPr>
      </w:pPr>
    </w:p>
    <w:p w14:paraId="0AB6643D" w14:textId="3606BDD4" w:rsidR="006D77C5" w:rsidRPr="006D77C5" w:rsidRDefault="006D77C5" w:rsidP="006D77C5">
      <w:pPr>
        <w:spacing w:after="0" w:line="240" w:lineRule="auto"/>
        <w:rPr>
          <w:lang w:val="en-US"/>
        </w:rPr>
      </w:pPr>
      <w:r w:rsidRPr="006D77C5">
        <w:rPr>
          <w:lang w:val="en-US"/>
        </w:rPr>
        <w:t>FIG. 10 — Depicts the mapping of various Regulators/Compliance Requirements (CMMC, HIPAA, GDPR, etc.) to the core $\</w:t>
      </w:r>
      <w:proofErr w:type="spellStart"/>
      <w:proofErr w:type="gramStart"/>
      <w:r w:rsidRPr="006D77C5">
        <w:rPr>
          <w:lang w:val="en-US"/>
        </w:rPr>
        <w:t>mathbf</w:t>
      </w:r>
      <w:proofErr w:type="spellEnd"/>
      <w:r w:rsidRPr="006D77C5">
        <w:rPr>
          <w:lang w:val="en-US"/>
        </w:rPr>
        <w:t>{</w:t>
      </w:r>
      <w:proofErr w:type="gramEnd"/>
      <w:r w:rsidRPr="006D77C5">
        <w:rPr>
          <w:lang w:val="en-US"/>
        </w:rPr>
        <w:t>Symbolic}$ $\</w:t>
      </w:r>
      <w:proofErr w:type="spellStart"/>
      <w:proofErr w:type="gramStart"/>
      <w:r w:rsidRPr="006D77C5">
        <w:rPr>
          <w:lang w:val="en-US"/>
        </w:rPr>
        <w:t>mathbf</w:t>
      </w:r>
      <w:proofErr w:type="spellEnd"/>
      <w:r w:rsidRPr="006D77C5">
        <w:rPr>
          <w:lang w:val="en-US"/>
        </w:rPr>
        <w:t>{</w:t>
      </w:r>
      <w:proofErr w:type="gramEnd"/>
      <w:r w:rsidRPr="006D77C5">
        <w:rPr>
          <w:lang w:val="en-US"/>
        </w:rPr>
        <w:t>Policy}$ $\</w:t>
      </w:r>
      <w:proofErr w:type="spellStart"/>
      <w:proofErr w:type="gramStart"/>
      <w:r w:rsidRPr="006D77C5">
        <w:rPr>
          <w:lang w:val="en-US"/>
        </w:rPr>
        <w:t>mathbf</w:t>
      </w:r>
      <w:proofErr w:type="spellEnd"/>
      <w:r w:rsidRPr="006D77C5">
        <w:rPr>
          <w:lang w:val="en-US"/>
        </w:rPr>
        <w:t>{</w:t>
      </w:r>
      <w:proofErr w:type="gramEnd"/>
      <w:r w:rsidRPr="006D77C5">
        <w:rPr>
          <w:lang w:val="en-US"/>
        </w:rPr>
        <w:t>Mapping}$ $\</w:t>
      </w:r>
      <w:proofErr w:type="spellStart"/>
      <w:proofErr w:type="gramStart"/>
      <w:r w:rsidRPr="006D77C5">
        <w:rPr>
          <w:lang w:val="en-US"/>
        </w:rPr>
        <w:t>mathbf</w:t>
      </w:r>
      <w:proofErr w:type="spellEnd"/>
      <w:r w:rsidRPr="006D77C5">
        <w:rPr>
          <w:lang w:val="en-US"/>
        </w:rPr>
        <w:t>{</w:t>
      </w:r>
      <w:proofErr w:type="gramEnd"/>
      <w:r w:rsidRPr="006D77C5">
        <w:rPr>
          <w:lang w:val="en-US"/>
        </w:rPr>
        <w:t>Engine}$, demonstrating how compliance rules are enforced via symbol semantics.</w:t>
      </w:r>
    </w:p>
    <w:p w14:paraId="23DE7C51" w14:textId="77777777" w:rsidR="006D77C5" w:rsidRDefault="006D77C5" w:rsidP="006D77C5">
      <w:pPr>
        <w:spacing w:after="0" w:line="240" w:lineRule="auto"/>
        <w:rPr>
          <w:lang w:val="en-US"/>
        </w:rPr>
      </w:pPr>
    </w:p>
    <w:p w14:paraId="17A3CB00" w14:textId="77777777" w:rsidR="006D77C5" w:rsidRDefault="006D77C5" w:rsidP="006D77C5">
      <w:pPr>
        <w:spacing w:after="0" w:line="240" w:lineRule="auto"/>
        <w:rPr>
          <w:lang w:val="en-US"/>
        </w:rPr>
      </w:pPr>
    </w:p>
    <w:p w14:paraId="12303827" w14:textId="2954072B" w:rsidR="006D77C5" w:rsidRPr="006D77C5" w:rsidRDefault="006D77C5" w:rsidP="006D77C5">
      <w:pPr>
        <w:spacing w:after="0" w:line="240" w:lineRule="auto"/>
        <w:rPr>
          <w:b/>
          <w:bCs/>
          <w:lang w:val="en-US"/>
        </w:rPr>
      </w:pPr>
      <w:r w:rsidRPr="006D77C5">
        <w:rPr>
          <w:b/>
          <w:bCs/>
          <w:lang w:val="en-US"/>
        </w:rPr>
        <w:t>E. Prior Art Comparison</w:t>
      </w:r>
    </w:p>
    <w:p w14:paraId="5EE6E84A" w14:textId="77777777" w:rsidR="006D77C5" w:rsidRPr="006D77C5" w:rsidRDefault="006D77C5" w:rsidP="006D77C5">
      <w:pPr>
        <w:spacing w:after="0" w:line="240" w:lineRule="auto"/>
        <w:rPr>
          <w:lang w:val="en-US"/>
        </w:rPr>
      </w:pPr>
    </w:p>
    <w:p w14:paraId="5B6A3A98" w14:textId="77777777" w:rsidR="006D77C5" w:rsidRPr="006D77C5" w:rsidRDefault="006D77C5" w:rsidP="006D77C5">
      <w:pPr>
        <w:spacing w:after="0" w:line="240" w:lineRule="auto"/>
        <w:rPr>
          <w:lang w:val="en-US"/>
        </w:rPr>
      </w:pPr>
      <w:r w:rsidRPr="006D77C5">
        <w:rPr>
          <w:lang w:val="en-US"/>
        </w:rPr>
        <w:t>FIG. 11A — Prior Art Confidential Compute Attestation. This figure illustrates the limitations of existing solutions (Section 2.2), such as TPM, SEV, TDX, and Tinfoil-like services. The process only confirms that the $\</w:t>
      </w:r>
      <w:proofErr w:type="spellStart"/>
      <w:proofErr w:type="gramStart"/>
      <w:r w:rsidRPr="006D77C5">
        <w:rPr>
          <w:lang w:val="en-US"/>
        </w:rPr>
        <w:t>mathbf</w:t>
      </w:r>
      <w:proofErr w:type="spellEnd"/>
      <w:r w:rsidRPr="006D77C5">
        <w:rPr>
          <w:lang w:val="en-US"/>
        </w:rPr>
        <w:t>{</w:t>
      </w:r>
      <w:proofErr w:type="gramEnd"/>
      <w:r w:rsidRPr="006D77C5">
        <w:rPr>
          <w:lang w:val="en-US"/>
        </w:rPr>
        <w:t>Hardware}$ $\</w:t>
      </w:r>
      <w:proofErr w:type="spellStart"/>
      <w:proofErr w:type="gramStart"/>
      <w:r w:rsidRPr="006D77C5">
        <w:rPr>
          <w:lang w:val="en-US"/>
        </w:rPr>
        <w:t>mathbf</w:t>
      </w:r>
      <w:proofErr w:type="spellEnd"/>
      <w:r w:rsidRPr="006D77C5">
        <w:rPr>
          <w:lang w:val="en-US"/>
        </w:rPr>
        <w:t>{</w:t>
      </w:r>
      <w:proofErr w:type="gramEnd"/>
      <w:r w:rsidRPr="006D77C5">
        <w:rPr>
          <w:lang w:val="en-US"/>
        </w:rPr>
        <w:t>Root}$ $\</w:t>
      </w:r>
      <w:proofErr w:type="spellStart"/>
      <w:r w:rsidRPr="006D77C5">
        <w:rPr>
          <w:lang w:val="en-US"/>
        </w:rPr>
        <w:t>mathbf</w:t>
      </w:r>
      <w:proofErr w:type="spellEnd"/>
      <w:r w:rsidRPr="006D77C5">
        <w:rPr>
          <w:lang w:val="en-US"/>
        </w:rPr>
        <w:t>{of}$ $\</w:t>
      </w:r>
      <w:proofErr w:type="spellStart"/>
      <w:proofErr w:type="gramStart"/>
      <w:r w:rsidRPr="006D77C5">
        <w:rPr>
          <w:lang w:val="en-US"/>
        </w:rPr>
        <w:t>mathbf</w:t>
      </w:r>
      <w:proofErr w:type="spellEnd"/>
      <w:r w:rsidRPr="006D77C5">
        <w:rPr>
          <w:lang w:val="en-US"/>
        </w:rPr>
        <w:t>{</w:t>
      </w:r>
      <w:proofErr w:type="gramEnd"/>
      <w:r w:rsidRPr="006D77C5">
        <w:rPr>
          <w:lang w:val="en-US"/>
        </w:rPr>
        <w:t>Trust}$ and the $\</w:t>
      </w:r>
      <w:proofErr w:type="spellStart"/>
      <w:proofErr w:type="gramStart"/>
      <w:r w:rsidRPr="006D77C5">
        <w:rPr>
          <w:lang w:val="en-US"/>
        </w:rPr>
        <w:t>mathbf</w:t>
      </w:r>
      <w:proofErr w:type="spellEnd"/>
      <w:r w:rsidRPr="006D77C5">
        <w:rPr>
          <w:lang w:val="en-US"/>
        </w:rPr>
        <w:t>{</w:t>
      </w:r>
      <w:proofErr w:type="gramEnd"/>
      <w:r w:rsidRPr="006D77C5">
        <w:rPr>
          <w:lang w:val="en-US"/>
        </w:rPr>
        <w:t>Secure}$ $\</w:t>
      </w:r>
      <w:proofErr w:type="spellStart"/>
      <w:proofErr w:type="gramStart"/>
      <w:r w:rsidRPr="006D77C5">
        <w:rPr>
          <w:lang w:val="en-US"/>
        </w:rPr>
        <w:t>mathbf</w:t>
      </w:r>
      <w:proofErr w:type="spellEnd"/>
      <w:r w:rsidRPr="006D77C5">
        <w:rPr>
          <w:lang w:val="en-US"/>
        </w:rPr>
        <w:t>{</w:t>
      </w:r>
      <w:proofErr w:type="gramEnd"/>
      <w:r w:rsidRPr="006D77C5">
        <w:rPr>
          <w:lang w:val="en-US"/>
        </w:rPr>
        <w:t>Execution}$ $\</w:t>
      </w:r>
      <w:proofErr w:type="spellStart"/>
      <w:proofErr w:type="gramStart"/>
      <w:r w:rsidRPr="006D77C5">
        <w:rPr>
          <w:lang w:val="en-US"/>
        </w:rPr>
        <w:t>mathbf</w:t>
      </w:r>
      <w:proofErr w:type="spellEnd"/>
      <w:r w:rsidRPr="006D77C5">
        <w:rPr>
          <w:lang w:val="en-US"/>
        </w:rPr>
        <w:t>{</w:t>
      </w:r>
      <w:proofErr w:type="gramEnd"/>
      <w:r w:rsidRPr="006D77C5">
        <w:rPr>
          <w:lang w:val="en-US"/>
        </w:rPr>
        <w:t>Enclave}$ are secure.</w:t>
      </w:r>
    </w:p>
    <w:p w14:paraId="02038A3A" w14:textId="77777777" w:rsidR="006D77C5" w:rsidRDefault="006D77C5" w:rsidP="006D77C5">
      <w:pPr>
        <w:spacing w:after="0" w:line="240" w:lineRule="auto"/>
        <w:rPr>
          <w:lang w:val="en-US"/>
        </w:rPr>
      </w:pPr>
    </w:p>
    <w:p w14:paraId="1556BFA6" w14:textId="4471712A" w:rsidR="006D77C5" w:rsidRPr="006D77C5" w:rsidRDefault="006D77C5" w:rsidP="006D77C5">
      <w:pPr>
        <w:spacing w:after="0" w:line="240" w:lineRule="auto"/>
        <w:rPr>
          <w:lang w:val="en-US"/>
        </w:rPr>
      </w:pPr>
      <w:r w:rsidRPr="006D77C5">
        <w:rPr>
          <w:lang w:val="en-US"/>
        </w:rPr>
        <w:t>FIG. 11B — KHEPRA Protocol Agentic Security Attestation Framework (ASAF). This figure illustrates the integrated solution provided by KHEPRA, defining the ASAF category. The process combines Symbol-Bound Identity (AAE) and PQ Signing with the core KHEPRA DAG Provenance Engine.</w:t>
      </w:r>
    </w:p>
    <w:p w14:paraId="173AE126" w14:textId="77777777" w:rsidR="006D77C5" w:rsidRDefault="006D77C5" w:rsidP="006D77C5">
      <w:pPr>
        <w:spacing w:after="0" w:line="240" w:lineRule="auto"/>
        <w:rPr>
          <w:lang w:val="en-US"/>
        </w:rPr>
      </w:pPr>
    </w:p>
    <w:p w14:paraId="61D7D271" w14:textId="4F0F40EF" w:rsidR="00477C6B" w:rsidRPr="004D7076" w:rsidRDefault="006D77C5" w:rsidP="006D77C5">
      <w:pPr>
        <w:spacing w:after="0" w:line="240" w:lineRule="auto"/>
        <w:rPr>
          <w:lang w:val="en-US"/>
        </w:rPr>
      </w:pPr>
      <w:r w:rsidRPr="006D77C5">
        <w:rPr>
          <w:lang w:val="en-US"/>
        </w:rPr>
        <w:t xml:space="preserve">FIG. 11C — Combined Comparison: Prior Art vs. KHEPRA. This table explicitly contrasts the deficiencies of </w:t>
      </w:r>
      <w:proofErr w:type="gramStart"/>
      <w:r w:rsidRPr="006D77C5">
        <w:rPr>
          <w:lang w:val="en-US"/>
        </w:rPr>
        <w:t>the Prior</w:t>
      </w:r>
      <w:proofErr w:type="gramEnd"/>
      <w:r w:rsidRPr="006D77C5">
        <w:rPr>
          <w:lang w:val="en-US"/>
        </w:rPr>
        <w:t xml:space="preserve"> Art against the advantages of KHEPRA.</w:t>
      </w:r>
    </w:p>
    <w:p w14:paraId="48BDE36C" w14:textId="77777777" w:rsidR="00477C6B" w:rsidRDefault="00477C6B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363CE0E8" w14:textId="5E003353" w:rsidR="00477C6B" w:rsidRPr="00477C6B" w:rsidRDefault="00477C6B" w:rsidP="00477C6B">
      <w:pPr>
        <w:rPr>
          <w:b/>
          <w:bCs/>
          <w:lang w:val="en-US"/>
        </w:rPr>
      </w:pPr>
      <w:r w:rsidRPr="00477C6B">
        <w:rPr>
          <w:b/>
          <w:bCs/>
          <w:lang w:val="en-US"/>
        </w:rPr>
        <w:lastRenderedPageBreak/>
        <w:t>4. BRIEF DESCRIPTION OF THE DRAWINGS</w:t>
      </w:r>
    </w:p>
    <w:p w14:paraId="588CED69" w14:textId="1DC00855" w:rsidR="00477C6B" w:rsidRPr="00477C6B" w:rsidRDefault="00477C6B" w:rsidP="00477C6B">
      <w:pPr>
        <w:rPr>
          <w:b/>
          <w:bCs/>
          <w:lang w:val="en-US"/>
        </w:rPr>
      </w:pPr>
      <w:r w:rsidRPr="00477C6B">
        <w:rPr>
          <w:b/>
          <w:bCs/>
          <w:lang w:val="en-US"/>
        </w:rPr>
        <w:t>A. General Architecture and Overview.</w:t>
      </w:r>
    </w:p>
    <w:p w14:paraId="64241798" w14:textId="48DC3DDB" w:rsidR="00477C6B" w:rsidRPr="00477C6B" w:rsidRDefault="00477C6B" w:rsidP="00477C6B">
      <w:pPr>
        <w:rPr>
          <w:lang w:val="en-US"/>
        </w:rPr>
      </w:pPr>
      <w:r w:rsidRPr="00477C6B">
        <w:rPr>
          <w:b/>
          <w:bCs/>
          <w:lang w:val="en-US"/>
        </w:rPr>
        <w:t>FIG. 1 Overall KHEPRA System Architecture</w:t>
      </w:r>
      <w:r>
        <w:rPr>
          <w:noProof/>
          <w:lang w:val="en-US"/>
        </w:rPr>
        <w:drawing>
          <wp:inline distT="0" distB="0" distL="0" distR="0" wp14:anchorId="633374EB" wp14:editId="705F47F2">
            <wp:extent cx="5760720" cy="7680960"/>
            <wp:effectExtent l="0" t="0" r="0" b="0"/>
            <wp:docPr id="13320186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18604" name="Image 13320186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FB899" w14:textId="77777777" w:rsidR="00477C6B" w:rsidRPr="00477C6B" w:rsidRDefault="00477C6B" w:rsidP="00477C6B">
      <w:pPr>
        <w:rPr>
          <w:lang w:val="en-US"/>
        </w:rPr>
      </w:pPr>
    </w:p>
    <w:p w14:paraId="3F898CFD" w14:textId="61C0DA49" w:rsidR="00477C6B" w:rsidRPr="00477C6B" w:rsidRDefault="00477C6B" w:rsidP="00477C6B">
      <w:pPr>
        <w:rPr>
          <w:b/>
          <w:bCs/>
          <w:lang w:val="en-US"/>
        </w:rPr>
      </w:pPr>
      <w:r w:rsidRPr="00477C6B">
        <w:rPr>
          <w:b/>
          <w:bCs/>
          <w:lang w:val="en-US"/>
        </w:rPr>
        <w:lastRenderedPageBreak/>
        <w:t>B. Adinkra Algebraic Encoding (AAE) and QKE Protocol</w:t>
      </w:r>
    </w:p>
    <w:p w14:paraId="074F9FC4" w14:textId="77777777" w:rsidR="00477C6B" w:rsidRDefault="00477C6B" w:rsidP="00477C6B">
      <w:pPr>
        <w:rPr>
          <w:lang w:val="en-US"/>
        </w:rPr>
      </w:pPr>
    </w:p>
    <w:p w14:paraId="1AF2A3B9" w14:textId="0BCE6043" w:rsidR="00477C6B" w:rsidRPr="00477C6B" w:rsidRDefault="00477C6B" w:rsidP="00477C6B">
      <w:pPr>
        <w:rPr>
          <w:b/>
          <w:bCs/>
          <w:lang w:val="en-US"/>
        </w:rPr>
      </w:pPr>
      <w:r w:rsidRPr="00477C6B">
        <w:rPr>
          <w:b/>
          <w:bCs/>
          <w:lang w:val="en-US"/>
        </w:rPr>
        <w:t>FIG. 2 Mapping Adinkra Symbols to $\</w:t>
      </w:r>
      <w:proofErr w:type="spellStart"/>
      <w:r w:rsidRPr="00477C6B">
        <w:rPr>
          <w:b/>
          <w:bCs/>
          <w:lang w:val="en-US"/>
        </w:rPr>
        <w:t>mathbf</w:t>
      </w:r>
      <w:proofErr w:type="spellEnd"/>
      <w:r w:rsidRPr="00477C6B">
        <w:rPr>
          <w:b/>
          <w:bCs/>
          <w:lang w:val="en-US"/>
        </w:rPr>
        <w:t>{D_</w:t>
      </w:r>
      <w:proofErr w:type="gramStart"/>
      <w:r w:rsidRPr="00477C6B">
        <w:rPr>
          <w:b/>
          <w:bCs/>
          <w:lang w:val="en-US"/>
        </w:rPr>
        <w:t>8}$</w:t>
      </w:r>
      <w:proofErr w:type="gramEnd"/>
      <w:r w:rsidRPr="00477C6B">
        <w:rPr>
          <w:b/>
          <w:bCs/>
          <w:lang w:val="en-US"/>
        </w:rPr>
        <w:t xml:space="preserve"> Dihedral Symmetry</w:t>
      </w:r>
    </w:p>
    <w:p w14:paraId="61F08421" w14:textId="77777777" w:rsidR="00477C6B" w:rsidRDefault="00477C6B" w:rsidP="00477C6B">
      <w:pPr>
        <w:rPr>
          <w:lang w:val="en-US"/>
        </w:rPr>
      </w:pPr>
    </w:p>
    <w:p w14:paraId="07C91CED" w14:textId="77777777" w:rsidR="00477C6B" w:rsidRDefault="00477C6B" w:rsidP="00477C6B">
      <w:pPr>
        <w:rPr>
          <w:lang w:val="en-US"/>
        </w:rPr>
      </w:pPr>
    </w:p>
    <w:p w14:paraId="1C83C5AD" w14:textId="77777777" w:rsidR="00477C6B" w:rsidRDefault="00477C6B" w:rsidP="00477C6B">
      <w:pPr>
        <w:rPr>
          <w:lang w:val="en-US"/>
        </w:rPr>
      </w:pPr>
    </w:p>
    <w:p w14:paraId="5A5DB39C" w14:textId="77777777" w:rsidR="00477C6B" w:rsidRDefault="00477C6B" w:rsidP="00477C6B">
      <w:pPr>
        <w:rPr>
          <w:lang w:val="en-US"/>
        </w:rPr>
      </w:pPr>
    </w:p>
    <w:p w14:paraId="7A93E7F4" w14:textId="06432E8E" w:rsidR="00477C6B" w:rsidRPr="00477C6B" w:rsidRDefault="00477C6B" w:rsidP="00477C6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A9A1CB6" wp14:editId="733C6E45">
            <wp:extent cx="5760720" cy="3236595"/>
            <wp:effectExtent l="0" t="0" r="0" b="1905"/>
            <wp:docPr id="546447124" name="Image 2" descr="Une image contenant texte, diagramme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47124" name="Image 2" descr="Une image contenant texte, diagramme, ligne, Police&#10;&#10;Le contenu généré par l’IA peut êtr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116D" w14:textId="77777777" w:rsidR="00477C6B" w:rsidRDefault="00477C6B">
      <w:pPr>
        <w:rPr>
          <w:lang w:val="en-US"/>
        </w:rPr>
      </w:pPr>
      <w:r>
        <w:rPr>
          <w:lang w:val="en-US"/>
        </w:rPr>
        <w:br w:type="page"/>
      </w:r>
    </w:p>
    <w:p w14:paraId="697FB391" w14:textId="364A45EB" w:rsidR="00477C6B" w:rsidRDefault="00477C6B" w:rsidP="00477C6B">
      <w:pPr>
        <w:rPr>
          <w:b/>
          <w:bCs/>
          <w:lang w:val="en-US"/>
        </w:rPr>
      </w:pPr>
      <w:r w:rsidRPr="00477C6B">
        <w:rPr>
          <w:b/>
          <w:bCs/>
          <w:lang w:val="en-US"/>
        </w:rPr>
        <w:lastRenderedPageBreak/>
        <w:t>FIG. 3 Symbol-Derived Key Generation Pipeline</w:t>
      </w:r>
    </w:p>
    <w:p w14:paraId="056772B9" w14:textId="77777777" w:rsidR="00477C6B" w:rsidRDefault="00477C6B" w:rsidP="00477C6B">
      <w:pPr>
        <w:rPr>
          <w:b/>
          <w:bCs/>
          <w:lang w:val="en-US"/>
        </w:rPr>
      </w:pPr>
    </w:p>
    <w:p w14:paraId="246BE74F" w14:textId="77777777" w:rsidR="00477C6B" w:rsidRDefault="00477C6B" w:rsidP="00477C6B">
      <w:pPr>
        <w:rPr>
          <w:b/>
          <w:bCs/>
          <w:lang w:val="en-US"/>
        </w:rPr>
      </w:pPr>
    </w:p>
    <w:p w14:paraId="34EAB7EE" w14:textId="77777777" w:rsidR="00477C6B" w:rsidRPr="00477C6B" w:rsidRDefault="00477C6B" w:rsidP="00477C6B">
      <w:pPr>
        <w:rPr>
          <w:b/>
          <w:bCs/>
          <w:lang w:val="en-US"/>
        </w:rPr>
      </w:pPr>
    </w:p>
    <w:p w14:paraId="7E50E5F7" w14:textId="2C1D32A8" w:rsidR="00477C6B" w:rsidRPr="00477C6B" w:rsidRDefault="00477C6B" w:rsidP="00477C6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72D228F" wp14:editId="2375A4B5">
            <wp:extent cx="5760720" cy="4320540"/>
            <wp:effectExtent l="0" t="0" r="0" b="3810"/>
            <wp:docPr id="2147438533" name="Image 3" descr="Une image contenant texte, capture d’écran, Police, graphis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38533" name="Image 3" descr="Une image contenant texte, capture d’écran, Police, graphisme&#10;&#10;Le contenu généré par l’IA peut êtr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E95EB" w14:textId="77777777" w:rsidR="00477C6B" w:rsidRDefault="00477C6B">
      <w:pPr>
        <w:rPr>
          <w:lang w:val="en-US"/>
        </w:rPr>
      </w:pPr>
      <w:r>
        <w:rPr>
          <w:lang w:val="en-US"/>
        </w:rPr>
        <w:br w:type="page"/>
      </w:r>
    </w:p>
    <w:p w14:paraId="6318A6D4" w14:textId="32BC5E68" w:rsidR="00477C6B" w:rsidRDefault="00477C6B" w:rsidP="00477C6B">
      <w:pPr>
        <w:rPr>
          <w:b/>
          <w:bCs/>
          <w:lang w:val="en-US"/>
        </w:rPr>
      </w:pPr>
      <w:r w:rsidRPr="00477C6B">
        <w:rPr>
          <w:b/>
          <w:bCs/>
          <w:lang w:val="en-US"/>
        </w:rPr>
        <w:lastRenderedPageBreak/>
        <w:t>FIG. 4 PQ Key Exchange Flow (ML-KEM-ready)</w:t>
      </w:r>
    </w:p>
    <w:p w14:paraId="0E8F74D2" w14:textId="77777777" w:rsidR="00477C6B" w:rsidRDefault="00477C6B" w:rsidP="00477C6B">
      <w:pPr>
        <w:rPr>
          <w:b/>
          <w:bCs/>
          <w:lang w:val="en-US"/>
        </w:rPr>
      </w:pPr>
    </w:p>
    <w:p w14:paraId="6ADB2F83" w14:textId="77777777" w:rsidR="00477C6B" w:rsidRDefault="00477C6B" w:rsidP="00477C6B">
      <w:pPr>
        <w:rPr>
          <w:b/>
          <w:bCs/>
          <w:lang w:val="en-US"/>
        </w:rPr>
      </w:pPr>
    </w:p>
    <w:p w14:paraId="14BCB842" w14:textId="77777777" w:rsidR="00477C6B" w:rsidRPr="00477C6B" w:rsidRDefault="00477C6B" w:rsidP="00477C6B">
      <w:pPr>
        <w:rPr>
          <w:b/>
          <w:bCs/>
          <w:lang w:val="en-US"/>
        </w:rPr>
      </w:pPr>
    </w:p>
    <w:p w14:paraId="43C4F519" w14:textId="2695514A" w:rsidR="00477C6B" w:rsidRPr="00477C6B" w:rsidRDefault="00477C6B" w:rsidP="00477C6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95C5DCC" wp14:editId="58E9FC01">
            <wp:extent cx="5760720" cy="4320540"/>
            <wp:effectExtent l="0" t="0" r="0" b="3810"/>
            <wp:docPr id="26012950" name="Image 4" descr="Une image contenant texte, Police, capture d’écran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2950" name="Image 4" descr="Une image contenant texte, Police, capture d’écran, diagramme&#10;&#10;Le contenu généré par l’IA peut êtr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481A4" w14:textId="77777777" w:rsidR="00477C6B" w:rsidRDefault="00477C6B">
      <w:pPr>
        <w:rPr>
          <w:lang w:val="en-US"/>
        </w:rPr>
      </w:pPr>
      <w:r>
        <w:rPr>
          <w:lang w:val="en-US"/>
        </w:rPr>
        <w:br w:type="page"/>
      </w:r>
    </w:p>
    <w:p w14:paraId="75FB9100" w14:textId="26F57274" w:rsidR="00477C6B" w:rsidRPr="00477C6B" w:rsidRDefault="00477C6B" w:rsidP="00477C6B">
      <w:pPr>
        <w:rPr>
          <w:b/>
          <w:bCs/>
          <w:lang w:val="en-US"/>
        </w:rPr>
      </w:pPr>
      <w:r w:rsidRPr="00477C6B">
        <w:rPr>
          <w:b/>
          <w:bCs/>
          <w:lang w:val="en-US"/>
        </w:rPr>
        <w:lastRenderedPageBreak/>
        <w:t>C. Agent Consensus Protocol (ACP) and Validation</w:t>
      </w:r>
    </w:p>
    <w:p w14:paraId="4EF6B3CC" w14:textId="634973C8" w:rsidR="00477C6B" w:rsidRDefault="00477C6B" w:rsidP="00477C6B">
      <w:pPr>
        <w:rPr>
          <w:b/>
          <w:bCs/>
          <w:lang w:val="en-US"/>
        </w:rPr>
      </w:pPr>
      <w:r w:rsidRPr="00477C6B">
        <w:rPr>
          <w:b/>
          <w:bCs/>
          <w:lang w:val="en-US"/>
        </w:rPr>
        <w:t>FIG. 5 Agent Consensus DAG Structure with Glyph-Triggered Execution</w:t>
      </w:r>
    </w:p>
    <w:p w14:paraId="6DF7D10B" w14:textId="77777777" w:rsidR="00477C6B" w:rsidRDefault="00477C6B" w:rsidP="00477C6B">
      <w:pPr>
        <w:rPr>
          <w:b/>
          <w:bCs/>
          <w:lang w:val="en-US"/>
        </w:rPr>
      </w:pPr>
    </w:p>
    <w:p w14:paraId="5358F1D5" w14:textId="77777777" w:rsidR="00477C6B" w:rsidRDefault="00477C6B" w:rsidP="00477C6B">
      <w:pPr>
        <w:rPr>
          <w:b/>
          <w:bCs/>
          <w:lang w:val="en-US"/>
        </w:rPr>
      </w:pPr>
    </w:p>
    <w:p w14:paraId="0D6C7113" w14:textId="77777777" w:rsidR="00477C6B" w:rsidRDefault="00477C6B" w:rsidP="00477C6B">
      <w:pPr>
        <w:rPr>
          <w:b/>
          <w:bCs/>
          <w:lang w:val="en-US"/>
        </w:rPr>
      </w:pPr>
    </w:p>
    <w:p w14:paraId="2712504D" w14:textId="77777777" w:rsidR="00477C6B" w:rsidRDefault="00477C6B" w:rsidP="00477C6B">
      <w:pPr>
        <w:rPr>
          <w:b/>
          <w:bCs/>
          <w:lang w:val="en-US"/>
        </w:rPr>
      </w:pPr>
    </w:p>
    <w:p w14:paraId="08FF05AA" w14:textId="77777777" w:rsidR="00477C6B" w:rsidRDefault="00477C6B" w:rsidP="00477C6B">
      <w:pPr>
        <w:rPr>
          <w:b/>
          <w:bCs/>
          <w:lang w:val="en-US"/>
        </w:rPr>
      </w:pPr>
    </w:p>
    <w:p w14:paraId="34CA72C1" w14:textId="77777777" w:rsidR="00477C6B" w:rsidRDefault="00477C6B" w:rsidP="00477C6B">
      <w:pPr>
        <w:rPr>
          <w:b/>
          <w:bCs/>
          <w:lang w:val="en-US"/>
        </w:rPr>
      </w:pPr>
    </w:p>
    <w:p w14:paraId="222FA708" w14:textId="77777777" w:rsidR="00477C6B" w:rsidRDefault="00477C6B" w:rsidP="00477C6B">
      <w:pPr>
        <w:rPr>
          <w:b/>
          <w:bCs/>
          <w:lang w:val="en-US"/>
        </w:rPr>
      </w:pPr>
    </w:p>
    <w:p w14:paraId="220EDF97" w14:textId="77777777" w:rsidR="00477C6B" w:rsidRPr="00477C6B" w:rsidRDefault="00477C6B" w:rsidP="00477C6B">
      <w:pPr>
        <w:rPr>
          <w:b/>
          <w:bCs/>
          <w:lang w:val="en-US"/>
        </w:rPr>
      </w:pPr>
    </w:p>
    <w:p w14:paraId="3C5F6542" w14:textId="289390FA" w:rsidR="00477C6B" w:rsidRPr="00477C6B" w:rsidRDefault="00477C6B" w:rsidP="00477C6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02D9F29" wp14:editId="23784B35">
            <wp:extent cx="5760720" cy="3236595"/>
            <wp:effectExtent l="0" t="0" r="0" b="1905"/>
            <wp:docPr id="1116805686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05686" name="Image 111680568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ABBB6" w14:textId="77777777" w:rsidR="00477C6B" w:rsidRDefault="00477C6B">
      <w:pPr>
        <w:rPr>
          <w:lang w:val="en-US"/>
        </w:rPr>
      </w:pPr>
      <w:r>
        <w:rPr>
          <w:lang w:val="en-US"/>
        </w:rPr>
        <w:br w:type="page"/>
      </w:r>
    </w:p>
    <w:p w14:paraId="695C6A41" w14:textId="2FA45F5A" w:rsidR="00477C6B" w:rsidRDefault="00477C6B" w:rsidP="00477C6B">
      <w:pPr>
        <w:rPr>
          <w:b/>
          <w:bCs/>
          <w:lang w:val="en-US"/>
        </w:rPr>
      </w:pPr>
      <w:r w:rsidRPr="00477C6B">
        <w:rPr>
          <w:b/>
          <w:bCs/>
          <w:lang w:val="en-US"/>
        </w:rPr>
        <w:lastRenderedPageBreak/>
        <w:t>FIG. 6 Lorentz-Invariant Timestamping Diagram</w:t>
      </w:r>
    </w:p>
    <w:p w14:paraId="42930621" w14:textId="77777777" w:rsidR="00477C6B" w:rsidRDefault="00477C6B" w:rsidP="00477C6B">
      <w:pPr>
        <w:rPr>
          <w:b/>
          <w:bCs/>
          <w:lang w:val="en-US"/>
        </w:rPr>
      </w:pPr>
    </w:p>
    <w:p w14:paraId="5DA64294" w14:textId="77777777" w:rsidR="00477C6B" w:rsidRDefault="00477C6B" w:rsidP="00477C6B">
      <w:pPr>
        <w:rPr>
          <w:b/>
          <w:bCs/>
          <w:lang w:val="en-US"/>
        </w:rPr>
      </w:pPr>
    </w:p>
    <w:p w14:paraId="2E2E48DA" w14:textId="77777777" w:rsidR="00477C6B" w:rsidRDefault="00477C6B" w:rsidP="00477C6B">
      <w:pPr>
        <w:rPr>
          <w:b/>
          <w:bCs/>
          <w:lang w:val="en-US"/>
        </w:rPr>
      </w:pPr>
    </w:p>
    <w:p w14:paraId="6124ABD4" w14:textId="77777777" w:rsidR="00477C6B" w:rsidRDefault="00477C6B" w:rsidP="00477C6B">
      <w:pPr>
        <w:rPr>
          <w:b/>
          <w:bCs/>
          <w:lang w:val="en-US"/>
        </w:rPr>
      </w:pPr>
    </w:p>
    <w:p w14:paraId="09FC8869" w14:textId="77777777" w:rsidR="00477C6B" w:rsidRPr="00477C6B" w:rsidRDefault="00477C6B" w:rsidP="00477C6B">
      <w:pPr>
        <w:rPr>
          <w:b/>
          <w:bCs/>
          <w:lang w:val="en-US"/>
        </w:rPr>
      </w:pPr>
    </w:p>
    <w:p w14:paraId="196534F4" w14:textId="5C2A118E" w:rsidR="00477C6B" w:rsidRDefault="00477C6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4F06580" wp14:editId="70345A47">
            <wp:extent cx="5760720" cy="4320540"/>
            <wp:effectExtent l="0" t="0" r="0" b="3810"/>
            <wp:docPr id="403767085" name="Image 6" descr="Une image contenant texte, capture d’écran, diagramme, astronomi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67085" name="Image 6" descr="Une image contenant texte, capture d’écran, diagramme, astronomie&#10;&#10;Le contenu généré par l’IA peut êtr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</w:p>
    <w:p w14:paraId="0091DDF6" w14:textId="77777777" w:rsidR="00477C6B" w:rsidRPr="00477C6B" w:rsidRDefault="00477C6B" w:rsidP="00477C6B">
      <w:pPr>
        <w:rPr>
          <w:lang w:val="en-US"/>
        </w:rPr>
      </w:pPr>
    </w:p>
    <w:p w14:paraId="5AAD3959" w14:textId="6DF4F4C6" w:rsidR="00477C6B" w:rsidRPr="00477C6B" w:rsidRDefault="00477C6B" w:rsidP="00477C6B">
      <w:pPr>
        <w:rPr>
          <w:b/>
          <w:bCs/>
          <w:lang w:val="en-US"/>
        </w:rPr>
      </w:pPr>
      <w:r w:rsidRPr="00477C6B">
        <w:rPr>
          <w:b/>
          <w:bCs/>
          <w:lang w:val="en-US"/>
        </w:rPr>
        <w:t>D. Zero Trust Integration and Use Cases</w:t>
      </w:r>
    </w:p>
    <w:p w14:paraId="427DFAD3" w14:textId="51FC36D9" w:rsidR="00477C6B" w:rsidRDefault="006D77C5" w:rsidP="00477C6B">
      <w:pPr>
        <w:rPr>
          <w:b/>
          <w:bCs/>
          <w:lang w:val="en-US"/>
        </w:rPr>
      </w:pPr>
      <w:r>
        <w:rPr>
          <w:b/>
          <w:bCs/>
          <w:lang w:val="en-US"/>
        </w:rPr>
        <w:t>FIG. 7 Ze</w:t>
      </w:r>
      <w:r w:rsidR="00477C6B" w:rsidRPr="00477C6B">
        <w:rPr>
          <w:b/>
          <w:bCs/>
          <w:lang w:val="en-US"/>
        </w:rPr>
        <w:t>ro-Trust Enforcement Lifecycle for Autonomous Agents</w:t>
      </w:r>
    </w:p>
    <w:p w14:paraId="5299107F" w14:textId="77777777" w:rsidR="006D77C5" w:rsidRDefault="006D77C5" w:rsidP="00477C6B">
      <w:pPr>
        <w:rPr>
          <w:b/>
          <w:bCs/>
          <w:lang w:val="en-US"/>
        </w:rPr>
      </w:pPr>
    </w:p>
    <w:p w14:paraId="27FA6716" w14:textId="5853A782" w:rsidR="00477C6B" w:rsidRDefault="006D77C5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C4DFA13" wp14:editId="38D8D0AC">
            <wp:extent cx="5260622" cy="7014163"/>
            <wp:effectExtent l="0" t="0" r="0" b="0"/>
            <wp:docPr id="1781626824" name="Image 7" descr="Une image contenant texte, diagramme, ligne, Pl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26824" name="Image 7" descr="Une image contenant texte, diagramme, ligne, Plan&#10;&#10;Le contenu généré par l’IA peut êtr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197" cy="702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7C6B">
        <w:rPr>
          <w:b/>
          <w:bCs/>
          <w:lang w:val="en-US"/>
        </w:rPr>
        <w:br w:type="page"/>
      </w:r>
    </w:p>
    <w:p w14:paraId="703411E2" w14:textId="77777777" w:rsidR="00477C6B" w:rsidRPr="00477C6B" w:rsidRDefault="00477C6B" w:rsidP="00477C6B">
      <w:pPr>
        <w:rPr>
          <w:b/>
          <w:bCs/>
          <w:lang w:val="en-US"/>
        </w:rPr>
      </w:pPr>
    </w:p>
    <w:p w14:paraId="760C5547" w14:textId="5879443C" w:rsidR="00477C6B" w:rsidRDefault="00477C6B" w:rsidP="00477C6B">
      <w:pPr>
        <w:rPr>
          <w:b/>
          <w:bCs/>
          <w:lang w:val="en-US"/>
        </w:rPr>
      </w:pPr>
      <w:r w:rsidRPr="00477C6B">
        <w:rPr>
          <w:b/>
          <w:bCs/>
          <w:lang w:val="en-US"/>
        </w:rPr>
        <w:t>FIG. 8 DoD Enclave Authentication Flow (Eban Handshake)</w:t>
      </w:r>
    </w:p>
    <w:p w14:paraId="09F188B1" w14:textId="77777777" w:rsidR="00477C6B" w:rsidRDefault="00477C6B" w:rsidP="00477C6B">
      <w:pPr>
        <w:rPr>
          <w:b/>
          <w:bCs/>
          <w:lang w:val="en-US"/>
        </w:rPr>
      </w:pPr>
    </w:p>
    <w:p w14:paraId="5C203EBF" w14:textId="77777777" w:rsidR="00477C6B" w:rsidRDefault="00477C6B" w:rsidP="00477C6B">
      <w:pPr>
        <w:rPr>
          <w:b/>
          <w:bCs/>
          <w:lang w:val="en-US"/>
        </w:rPr>
      </w:pPr>
    </w:p>
    <w:p w14:paraId="0AA292A9" w14:textId="77777777" w:rsidR="00477C6B" w:rsidRDefault="00477C6B" w:rsidP="00477C6B">
      <w:pPr>
        <w:rPr>
          <w:b/>
          <w:bCs/>
          <w:lang w:val="en-US"/>
        </w:rPr>
      </w:pPr>
    </w:p>
    <w:p w14:paraId="6D8447D3" w14:textId="77777777" w:rsidR="00477C6B" w:rsidRDefault="00477C6B" w:rsidP="00477C6B">
      <w:pPr>
        <w:rPr>
          <w:b/>
          <w:bCs/>
          <w:lang w:val="en-US"/>
        </w:rPr>
      </w:pPr>
    </w:p>
    <w:p w14:paraId="3F3B88A4" w14:textId="3C87DBF9" w:rsidR="00477C6B" w:rsidRDefault="00477C6B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30EC133" wp14:editId="664C0865">
            <wp:extent cx="5760720" cy="3291840"/>
            <wp:effectExtent l="0" t="0" r="0" b="3810"/>
            <wp:docPr id="594706442" name="Image 8" descr="Une image contenant texte, Police, diagramm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06442" name="Image 8" descr="Une image contenant texte, Police, diagramme, capture d’écran&#10;&#10;Le contenu généré par l’IA peut êtr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br w:type="page"/>
      </w:r>
    </w:p>
    <w:p w14:paraId="1CADF413" w14:textId="77777777" w:rsidR="00477C6B" w:rsidRPr="00477C6B" w:rsidRDefault="00477C6B" w:rsidP="00477C6B">
      <w:pPr>
        <w:rPr>
          <w:b/>
          <w:bCs/>
          <w:lang w:val="en-US"/>
        </w:rPr>
      </w:pPr>
    </w:p>
    <w:p w14:paraId="523082D2" w14:textId="353F3ACD" w:rsidR="00477C6B" w:rsidRDefault="00477C6B" w:rsidP="00477C6B">
      <w:pPr>
        <w:rPr>
          <w:b/>
          <w:bCs/>
          <w:lang w:val="en-US"/>
        </w:rPr>
      </w:pPr>
      <w:r w:rsidRPr="00477C6B">
        <w:rPr>
          <w:b/>
          <w:bCs/>
          <w:lang w:val="en-US"/>
        </w:rPr>
        <w:t>FIG. 9 SATCOM Adaptive Rekeying and Station Handoff</w:t>
      </w:r>
    </w:p>
    <w:p w14:paraId="537306CB" w14:textId="77777777" w:rsidR="00477C6B" w:rsidRDefault="00477C6B" w:rsidP="00477C6B">
      <w:pPr>
        <w:rPr>
          <w:b/>
          <w:bCs/>
          <w:lang w:val="en-US"/>
        </w:rPr>
      </w:pPr>
    </w:p>
    <w:p w14:paraId="4FE87DE6" w14:textId="77777777" w:rsidR="00477C6B" w:rsidRDefault="00477C6B" w:rsidP="00477C6B">
      <w:pPr>
        <w:rPr>
          <w:b/>
          <w:bCs/>
          <w:lang w:val="en-US"/>
        </w:rPr>
      </w:pPr>
    </w:p>
    <w:p w14:paraId="259B8C93" w14:textId="77777777" w:rsidR="00477C6B" w:rsidRDefault="00477C6B" w:rsidP="00477C6B">
      <w:pPr>
        <w:rPr>
          <w:b/>
          <w:bCs/>
          <w:lang w:val="en-US"/>
        </w:rPr>
      </w:pPr>
    </w:p>
    <w:p w14:paraId="0F10D08B" w14:textId="77777777" w:rsidR="00477C6B" w:rsidRDefault="00477C6B" w:rsidP="00477C6B">
      <w:pPr>
        <w:rPr>
          <w:b/>
          <w:bCs/>
          <w:lang w:val="en-US"/>
        </w:rPr>
      </w:pPr>
    </w:p>
    <w:p w14:paraId="348311E5" w14:textId="2F229116" w:rsidR="00477C6B" w:rsidRDefault="00477C6B" w:rsidP="00477C6B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C24CEEF" wp14:editId="5E2F1BA6">
            <wp:extent cx="5760720" cy="4320540"/>
            <wp:effectExtent l="0" t="0" r="0" b="3810"/>
            <wp:docPr id="444940806" name="Image 9" descr="Une image contenant texte, croquis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40806" name="Image 9" descr="Une image contenant texte, croquis, diagramme, ligne&#10;&#10;Le contenu généré par l’IA peut êtr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A793" w14:textId="77777777" w:rsidR="00477C6B" w:rsidRDefault="00477C6B" w:rsidP="00477C6B">
      <w:pPr>
        <w:rPr>
          <w:b/>
          <w:bCs/>
          <w:lang w:val="en-US"/>
        </w:rPr>
      </w:pPr>
    </w:p>
    <w:p w14:paraId="31D09286" w14:textId="77777777" w:rsidR="00477C6B" w:rsidRDefault="00477C6B" w:rsidP="00477C6B">
      <w:pPr>
        <w:rPr>
          <w:b/>
          <w:bCs/>
          <w:lang w:val="en-US"/>
        </w:rPr>
      </w:pPr>
    </w:p>
    <w:p w14:paraId="5CB91D5D" w14:textId="77777777" w:rsidR="00477C6B" w:rsidRDefault="00477C6B" w:rsidP="00477C6B">
      <w:pPr>
        <w:rPr>
          <w:b/>
          <w:bCs/>
          <w:lang w:val="en-US"/>
        </w:rPr>
      </w:pPr>
    </w:p>
    <w:p w14:paraId="08A7739A" w14:textId="77777777" w:rsidR="00477C6B" w:rsidRDefault="00477C6B" w:rsidP="00477C6B">
      <w:pPr>
        <w:rPr>
          <w:b/>
          <w:bCs/>
          <w:lang w:val="en-US"/>
        </w:rPr>
      </w:pPr>
    </w:p>
    <w:p w14:paraId="7FF52C2B" w14:textId="77777777" w:rsidR="00477C6B" w:rsidRDefault="00477C6B" w:rsidP="00477C6B">
      <w:pPr>
        <w:rPr>
          <w:b/>
          <w:bCs/>
          <w:lang w:val="en-US"/>
        </w:rPr>
      </w:pPr>
    </w:p>
    <w:p w14:paraId="2A17A036" w14:textId="131D2FE1" w:rsidR="00477C6B" w:rsidRDefault="00477C6B" w:rsidP="00477C6B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  <w:r w:rsidRPr="00477C6B">
        <w:rPr>
          <w:b/>
          <w:bCs/>
          <w:lang w:val="en-US"/>
        </w:rPr>
        <w:lastRenderedPageBreak/>
        <w:t>FIG. 10 Regulators / Compliance Mapping Using Symbol Semantics</w:t>
      </w:r>
    </w:p>
    <w:p w14:paraId="27BD87B3" w14:textId="77777777" w:rsidR="00477C6B" w:rsidRDefault="00477C6B" w:rsidP="00477C6B">
      <w:pPr>
        <w:rPr>
          <w:b/>
          <w:bCs/>
          <w:lang w:val="en-US"/>
        </w:rPr>
      </w:pPr>
    </w:p>
    <w:p w14:paraId="33D365C1" w14:textId="77777777" w:rsidR="00477C6B" w:rsidRDefault="00477C6B" w:rsidP="00477C6B">
      <w:pPr>
        <w:rPr>
          <w:b/>
          <w:bCs/>
          <w:lang w:val="en-US"/>
        </w:rPr>
      </w:pPr>
    </w:p>
    <w:p w14:paraId="49EDC2E6" w14:textId="77777777" w:rsidR="00477C6B" w:rsidRDefault="00477C6B" w:rsidP="00477C6B">
      <w:pPr>
        <w:rPr>
          <w:b/>
          <w:bCs/>
          <w:lang w:val="en-US"/>
        </w:rPr>
      </w:pPr>
    </w:p>
    <w:p w14:paraId="5402EA4F" w14:textId="77777777" w:rsidR="00477C6B" w:rsidRDefault="00477C6B" w:rsidP="00477C6B">
      <w:pPr>
        <w:rPr>
          <w:b/>
          <w:bCs/>
          <w:lang w:val="en-US"/>
        </w:rPr>
      </w:pPr>
    </w:p>
    <w:p w14:paraId="52F70AC4" w14:textId="77777777" w:rsidR="00477C6B" w:rsidRDefault="00477C6B" w:rsidP="00477C6B">
      <w:pPr>
        <w:rPr>
          <w:b/>
          <w:bCs/>
          <w:lang w:val="en-US"/>
        </w:rPr>
      </w:pPr>
    </w:p>
    <w:p w14:paraId="3B64B8F6" w14:textId="77777777" w:rsidR="00477C6B" w:rsidRPr="00477C6B" w:rsidRDefault="00477C6B" w:rsidP="00477C6B">
      <w:pPr>
        <w:rPr>
          <w:b/>
          <w:bCs/>
          <w:lang w:val="en-US"/>
        </w:rPr>
      </w:pPr>
    </w:p>
    <w:p w14:paraId="7BE4277F" w14:textId="05C66EC5" w:rsidR="00477C6B" w:rsidRDefault="00477C6B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89441A0" wp14:editId="02E9CB76">
            <wp:extent cx="5760720" cy="3236595"/>
            <wp:effectExtent l="0" t="0" r="0" b="1905"/>
            <wp:docPr id="770033306" name="Image 10" descr="Une image contenant texte, diagramme, capture d’écran, Pl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33306" name="Image 10" descr="Une image contenant texte, diagramme, capture d’écran, Plan&#10;&#10;Le contenu généré par l’IA peut êtr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br w:type="page"/>
      </w:r>
    </w:p>
    <w:p w14:paraId="681BCA7B" w14:textId="61C273DF" w:rsidR="00477C6B" w:rsidRPr="00477C6B" w:rsidRDefault="00477C6B" w:rsidP="00477C6B">
      <w:pPr>
        <w:rPr>
          <w:b/>
          <w:bCs/>
          <w:lang w:val="en-US"/>
        </w:rPr>
      </w:pPr>
      <w:r w:rsidRPr="00477C6B">
        <w:rPr>
          <w:b/>
          <w:bCs/>
          <w:lang w:val="en-US"/>
        </w:rPr>
        <w:lastRenderedPageBreak/>
        <w:t>E. Prior Art Comparison</w:t>
      </w:r>
    </w:p>
    <w:p w14:paraId="0D33B697" w14:textId="7B232AA7" w:rsidR="00477C6B" w:rsidRDefault="00477C6B" w:rsidP="00477C6B">
      <w:pPr>
        <w:rPr>
          <w:b/>
          <w:bCs/>
          <w:lang w:val="en-US"/>
        </w:rPr>
      </w:pPr>
      <w:r w:rsidRPr="00477C6B">
        <w:rPr>
          <w:b/>
          <w:bCs/>
          <w:lang w:val="en-US"/>
        </w:rPr>
        <w:t>FIG. 11A Prior Art Confidential Compute Attestation</w:t>
      </w:r>
    </w:p>
    <w:p w14:paraId="115C9B0C" w14:textId="77777777" w:rsidR="00477C6B" w:rsidRDefault="00477C6B" w:rsidP="00477C6B">
      <w:pPr>
        <w:rPr>
          <w:b/>
          <w:bCs/>
          <w:lang w:val="en-US"/>
        </w:rPr>
      </w:pPr>
    </w:p>
    <w:p w14:paraId="06DD2D1F" w14:textId="77777777" w:rsidR="00477C6B" w:rsidRDefault="00477C6B" w:rsidP="00477C6B">
      <w:pPr>
        <w:rPr>
          <w:b/>
          <w:bCs/>
          <w:lang w:val="en-US"/>
        </w:rPr>
      </w:pPr>
    </w:p>
    <w:p w14:paraId="41ACF0C2" w14:textId="77777777" w:rsidR="00477C6B" w:rsidRDefault="00477C6B" w:rsidP="00477C6B">
      <w:pPr>
        <w:rPr>
          <w:b/>
          <w:bCs/>
          <w:lang w:val="en-US"/>
        </w:rPr>
      </w:pPr>
    </w:p>
    <w:p w14:paraId="00DE1AE5" w14:textId="77777777" w:rsidR="00477C6B" w:rsidRDefault="00477C6B" w:rsidP="00477C6B">
      <w:pPr>
        <w:rPr>
          <w:b/>
          <w:bCs/>
          <w:lang w:val="en-US"/>
        </w:rPr>
      </w:pPr>
    </w:p>
    <w:p w14:paraId="20F0504F" w14:textId="13D81491" w:rsidR="00477C6B" w:rsidRDefault="00477C6B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399CBED" wp14:editId="7AFACF25">
            <wp:extent cx="5760720" cy="4320540"/>
            <wp:effectExtent l="0" t="0" r="0" b="3810"/>
            <wp:docPr id="1094056434" name="Image 1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56434" name="Image 1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br w:type="page"/>
      </w:r>
    </w:p>
    <w:p w14:paraId="14688646" w14:textId="77777777" w:rsidR="00477C6B" w:rsidRPr="00477C6B" w:rsidRDefault="00477C6B" w:rsidP="00477C6B">
      <w:pPr>
        <w:rPr>
          <w:b/>
          <w:bCs/>
          <w:lang w:val="en-US"/>
        </w:rPr>
      </w:pPr>
    </w:p>
    <w:p w14:paraId="13F07388" w14:textId="21C57101" w:rsidR="00477C6B" w:rsidRDefault="00477C6B" w:rsidP="00477C6B">
      <w:pPr>
        <w:rPr>
          <w:b/>
          <w:bCs/>
          <w:lang w:val="en-US"/>
        </w:rPr>
      </w:pPr>
      <w:r w:rsidRPr="00477C6B">
        <w:rPr>
          <w:b/>
          <w:bCs/>
          <w:lang w:val="en-US"/>
        </w:rPr>
        <w:t xml:space="preserve">FIG. 11B KHEPRA Protocol Agentic Security Attestation Framework (ASAF) </w:t>
      </w:r>
    </w:p>
    <w:p w14:paraId="61B17210" w14:textId="77777777" w:rsidR="00477C6B" w:rsidRDefault="00477C6B" w:rsidP="00477C6B">
      <w:pPr>
        <w:rPr>
          <w:b/>
          <w:bCs/>
          <w:lang w:val="en-US"/>
        </w:rPr>
      </w:pPr>
    </w:p>
    <w:p w14:paraId="7BD0206D" w14:textId="77777777" w:rsidR="00477C6B" w:rsidRDefault="00477C6B" w:rsidP="00477C6B">
      <w:pPr>
        <w:rPr>
          <w:b/>
          <w:bCs/>
          <w:lang w:val="en-US"/>
        </w:rPr>
      </w:pPr>
    </w:p>
    <w:p w14:paraId="09FF7350" w14:textId="77777777" w:rsidR="00477C6B" w:rsidRDefault="00477C6B" w:rsidP="00477C6B">
      <w:pPr>
        <w:rPr>
          <w:b/>
          <w:bCs/>
          <w:lang w:val="en-US"/>
        </w:rPr>
      </w:pPr>
    </w:p>
    <w:p w14:paraId="5E695B82" w14:textId="77777777" w:rsidR="00477C6B" w:rsidRDefault="00477C6B" w:rsidP="00477C6B">
      <w:pPr>
        <w:rPr>
          <w:b/>
          <w:bCs/>
          <w:lang w:val="en-US"/>
        </w:rPr>
      </w:pPr>
    </w:p>
    <w:p w14:paraId="1048325E" w14:textId="77777777" w:rsidR="00477C6B" w:rsidRDefault="00477C6B" w:rsidP="00477C6B">
      <w:pPr>
        <w:rPr>
          <w:b/>
          <w:bCs/>
          <w:lang w:val="en-US"/>
        </w:rPr>
      </w:pPr>
    </w:p>
    <w:p w14:paraId="2E8CFFB8" w14:textId="5D0F52AE" w:rsidR="00477C6B" w:rsidRDefault="00477C6B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FE3B58D" wp14:editId="68CF7CFC">
            <wp:extent cx="5760720" cy="4320540"/>
            <wp:effectExtent l="0" t="0" r="0" b="3810"/>
            <wp:docPr id="1155211191" name="Image 12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11191" name="Image 12" descr="Une image contenant texte, capture d’écran, Police, ligne&#10;&#10;Le contenu généré par l’IA peut êtr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br w:type="page"/>
      </w:r>
    </w:p>
    <w:p w14:paraId="02701AEC" w14:textId="77777777" w:rsidR="00477C6B" w:rsidRPr="00477C6B" w:rsidRDefault="00477C6B" w:rsidP="00477C6B">
      <w:pPr>
        <w:rPr>
          <w:b/>
          <w:bCs/>
          <w:lang w:val="en-US"/>
        </w:rPr>
      </w:pPr>
    </w:p>
    <w:p w14:paraId="6AA59CF3" w14:textId="167DB067" w:rsidR="00477C6B" w:rsidRDefault="00477C6B" w:rsidP="00477C6B">
      <w:pPr>
        <w:rPr>
          <w:b/>
          <w:bCs/>
          <w:lang w:val="en-US"/>
        </w:rPr>
      </w:pPr>
      <w:r w:rsidRPr="00477C6B">
        <w:rPr>
          <w:b/>
          <w:bCs/>
          <w:lang w:val="en-US"/>
        </w:rPr>
        <w:t>FIG. 11C Combined Comparison: Prior Art vs. KHEPRA</w:t>
      </w:r>
    </w:p>
    <w:p w14:paraId="53B6371F" w14:textId="63164E51" w:rsidR="00477C6B" w:rsidRDefault="00477C6B" w:rsidP="00477C6B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A549D4A" wp14:editId="50B0635F">
            <wp:extent cx="5319221" cy="5563082"/>
            <wp:effectExtent l="0" t="0" r="0" b="0"/>
            <wp:docPr id="1424000428" name="Image 13" descr="Une image contenant texte, capture d’écran, Police, men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00428" name="Image 13" descr="Une image contenant texte, capture d’écran, Police, menu&#10;&#10;Le contenu généré par l’IA peut êtr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556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6EC3" w14:textId="77777777" w:rsidR="00477C6B" w:rsidRDefault="00477C6B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15688DEA" w14:textId="77777777" w:rsidR="006D77C5" w:rsidRDefault="006D77C5" w:rsidP="00477C6B">
      <w:pPr>
        <w:rPr>
          <w:b/>
          <w:bCs/>
          <w:lang w:val="en-US"/>
        </w:rPr>
      </w:pPr>
    </w:p>
    <w:p w14:paraId="47B26DD6" w14:textId="77777777" w:rsidR="006D77C5" w:rsidRDefault="006D77C5" w:rsidP="00477C6B">
      <w:pPr>
        <w:rPr>
          <w:b/>
          <w:bCs/>
          <w:lang w:val="en-US"/>
        </w:rPr>
      </w:pPr>
    </w:p>
    <w:p w14:paraId="7D012425" w14:textId="77777777" w:rsidR="006D77C5" w:rsidRDefault="006D77C5" w:rsidP="00477C6B">
      <w:pPr>
        <w:rPr>
          <w:b/>
          <w:bCs/>
          <w:lang w:val="en-US"/>
        </w:rPr>
      </w:pPr>
    </w:p>
    <w:p w14:paraId="08962A5E" w14:textId="77777777" w:rsidR="006D77C5" w:rsidRDefault="006D77C5" w:rsidP="00477C6B">
      <w:pPr>
        <w:rPr>
          <w:b/>
          <w:bCs/>
          <w:lang w:val="en-US"/>
        </w:rPr>
      </w:pPr>
    </w:p>
    <w:p w14:paraId="5F87A052" w14:textId="77777777" w:rsidR="006D77C5" w:rsidRDefault="006D77C5" w:rsidP="00477C6B">
      <w:pPr>
        <w:rPr>
          <w:b/>
          <w:bCs/>
          <w:lang w:val="en-US"/>
        </w:rPr>
      </w:pPr>
    </w:p>
    <w:p w14:paraId="32BBD626" w14:textId="77777777" w:rsidR="006D77C5" w:rsidRDefault="006D77C5" w:rsidP="00477C6B">
      <w:pPr>
        <w:rPr>
          <w:b/>
          <w:bCs/>
          <w:lang w:val="en-US"/>
        </w:rPr>
      </w:pPr>
    </w:p>
    <w:p w14:paraId="5F22436C" w14:textId="77777777" w:rsidR="006D77C5" w:rsidRDefault="006D77C5" w:rsidP="00477C6B">
      <w:pPr>
        <w:rPr>
          <w:b/>
          <w:bCs/>
          <w:lang w:val="en-US"/>
        </w:rPr>
      </w:pPr>
    </w:p>
    <w:p w14:paraId="2B74E4C4" w14:textId="6B135149" w:rsidR="00477C6B" w:rsidRDefault="00477C6B" w:rsidP="006D77C5">
      <w:pPr>
        <w:jc w:val="center"/>
        <w:rPr>
          <w:lang w:val="en-US"/>
        </w:rPr>
      </w:pPr>
      <w:r w:rsidRPr="004D7076">
        <w:rPr>
          <w:b/>
          <w:bCs/>
          <w:lang w:val="en-US"/>
        </w:rPr>
        <w:t>Signature:</w:t>
      </w:r>
      <w:r w:rsidRPr="004D7076">
        <w:rPr>
          <w:lang w:val="en-US"/>
        </w:rPr>
        <w:t> </w:t>
      </w:r>
      <w:r>
        <w:rPr>
          <w:lang w:val="en-US"/>
        </w:rPr>
        <w:pict w14:anchorId="5904E2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igne de signature, Non signé" style="width:192pt;height:96pt">
            <v:imagedata r:id="rId20" o:title=""/>
            <o:lock v:ext="edit" ungrouping="t" rotation="t" cropping="t" verticies="t" text="t" grouping="t"/>
            <o:signatureline v:ext="edit" id="{B4AED2A1-4477-47C3-A0F0-21AE5D87D0DE}" provid="{00000000-0000-0000-0000-000000000000}" o:suggestedsigner="SOUHIMBOU DOH KONE" o:suggestedsigner2="PRIMARY (SOLE) INVENTOR" o:suggestedsigneremail="hello@souhimbou.com" signinginstructionsset="t" issignatureline="t"/>
          </v:shape>
        </w:pict>
      </w:r>
    </w:p>
    <w:p w14:paraId="3E78F1FE" w14:textId="7D01354D" w:rsidR="00477C6B" w:rsidRDefault="00477C6B" w:rsidP="006D77C5">
      <w:pPr>
        <w:jc w:val="center"/>
        <w:rPr>
          <w:lang w:val="en-US"/>
        </w:rPr>
      </w:pPr>
      <w:r w:rsidRPr="004D7076">
        <w:rPr>
          <w:b/>
          <w:bCs/>
          <w:lang w:val="en-US"/>
        </w:rPr>
        <w:t>Date:</w:t>
      </w:r>
      <w:r w:rsidRPr="004D7076">
        <w:rPr>
          <w:lang w:val="en-US"/>
        </w:rPr>
        <w:t> 12/1</w:t>
      </w:r>
      <w:r>
        <w:rPr>
          <w:lang w:val="en-US"/>
        </w:rPr>
        <w:t>7</w:t>
      </w:r>
      <w:r w:rsidRPr="004D7076">
        <w:rPr>
          <w:lang w:val="en-US"/>
        </w:rPr>
        <w:t>/2025</w:t>
      </w:r>
    </w:p>
    <w:p w14:paraId="40E87F5B" w14:textId="3266B61F" w:rsidR="00477C6B" w:rsidRDefault="00477C6B" w:rsidP="006D77C5">
      <w:pPr>
        <w:jc w:val="center"/>
        <w:rPr>
          <w:lang w:val="en-US"/>
        </w:rPr>
      </w:pPr>
      <w:r w:rsidRPr="004D7076">
        <w:rPr>
          <w:b/>
          <w:bCs/>
          <w:lang w:val="en-US"/>
        </w:rPr>
        <w:t>Typed Name:</w:t>
      </w:r>
      <w:r w:rsidRPr="004D7076">
        <w:rPr>
          <w:lang w:val="en-US"/>
        </w:rPr>
        <w:t> Souhimbou D. Kone</w:t>
      </w:r>
    </w:p>
    <w:p w14:paraId="326A96FB" w14:textId="77777777" w:rsidR="00477C6B" w:rsidRPr="004D7076" w:rsidRDefault="00477C6B" w:rsidP="006D77C5">
      <w:pPr>
        <w:jc w:val="center"/>
        <w:rPr>
          <w:b/>
          <w:bCs/>
          <w:lang w:val="en-US"/>
        </w:rPr>
      </w:pPr>
      <w:r w:rsidRPr="004D7076">
        <w:rPr>
          <w:b/>
          <w:bCs/>
          <w:lang w:val="en-US"/>
        </w:rPr>
        <w:t>Registration Number:</w:t>
      </w:r>
      <w:r w:rsidRPr="004D7076">
        <w:rPr>
          <w:lang w:val="en-US"/>
        </w:rPr>
        <w:t> </w:t>
      </w:r>
      <w:r>
        <w:rPr>
          <w:lang w:val="en-US"/>
        </w:rPr>
        <w:t>73565085</w:t>
      </w:r>
    </w:p>
    <w:p w14:paraId="69CFC71B" w14:textId="77777777" w:rsidR="00477C6B" w:rsidRPr="00477C6B" w:rsidRDefault="00477C6B" w:rsidP="00477C6B">
      <w:pPr>
        <w:rPr>
          <w:b/>
          <w:bCs/>
          <w:lang w:val="en-US"/>
        </w:rPr>
      </w:pPr>
    </w:p>
    <w:sectPr w:rsidR="00477C6B" w:rsidRPr="00477C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EE16C" w14:textId="77777777" w:rsidR="006D77C5" w:rsidRDefault="006D77C5" w:rsidP="006D77C5">
      <w:pPr>
        <w:spacing w:after="0" w:line="240" w:lineRule="auto"/>
      </w:pPr>
      <w:r>
        <w:separator/>
      </w:r>
    </w:p>
  </w:endnote>
  <w:endnote w:type="continuationSeparator" w:id="0">
    <w:p w14:paraId="5FA8AC41" w14:textId="77777777" w:rsidR="006D77C5" w:rsidRDefault="006D77C5" w:rsidP="006D7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66FD8" w14:textId="77777777" w:rsidR="006D77C5" w:rsidRDefault="006D77C5" w:rsidP="006D77C5">
      <w:pPr>
        <w:spacing w:after="0" w:line="240" w:lineRule="auto"/>
      </w:pPr>
      <w:r>
        <w:separator/>
      </w:r>
    </w:p>
  </w:footnote>
  <w:footnote w:type="continuationSeparator" w:id="0">
    <w:p w14:paraId="4E3C9B17" w14:textId="77777777" w:rsidR="006D77C5" w:rsidRDefault="006D77C5" w:rsidP="006D77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C3A2F"/>
    <w:multiLevelType w:val="multilevel"/>
    <w:tmpl w:val="B81C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C9874F2"/>
    <w:multiLevelType w:val="multilevel"/>
    <w:tmpl w:val="765C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22B0F4C"/>
    <w:multiLevelType w:val="multilevel"/>
    <w:tmpl w:val="EDD2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CF12F52"/>
    <w:multiLevelType w:val="multilevel"/>
    <w:tmpl w:val="527E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3E273EE"/>
    <w:multiLevelType w:val="multilevel"/>
    <w:tmpl w:val="A2AE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70D74ED"/>
    <w:multiLevelType w:val="multilevel"/>
    <w:tmpl w:val="FC12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03973248">
    <w:abstractNumId w:val="5"/>
  </w:num>
  <w:num w:numId="2" w16cid:durableId="1102185600">
    <w:abstractNumId w:val="3"/>
  </w:num>
  <w:num w:numId="3" w16cid:durableId="736821785">
    <w:abstractNumId w:val="2"/>
  </w:num>
  <w:num w:numId="4" w16cid:durableId="1997561818">
    <w:abstractNumId w:val="0"/>
  </w:num>
  <w:num w:numId="5" w16cid:durableId="2130124729">
    <w:abstractNumId w:val="4"/>
  </w:num>
  <w:num w:numId="6" w16cid:durableId="1434205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C6B"/>
    <w:rsid w:val="00477C6B"/>
    <w:rsid w:val="006D77C5"/>
    <w:rsid w:val="009F0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2A41D"/>
  <w15:chartTrackingRefBased/>
  <w15:docId w15:val="{00B2CF40-7A6A-4016-84FA-23E4BA66E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77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77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77C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77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77C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77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77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77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77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77C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77C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77C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77C6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77C6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77C6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77C6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77C6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77C6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77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77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77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77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77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77C6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77C6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77C6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77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77C6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77C6B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D77C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77C5"/>
  </w:style>
  <w:style w:type="paragraph" w:styleId="Pieddepage">
    <w:name w:val="footer"/>
    <w:basedOn w:val="Normal"/>
    <w:link w:val="PieddepageCar"/>
    <w:uiPriority w:val="99"/>
    <w:unhideWhenUsed/>
    <w:rsid w:val="006D77C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77C5"/>
  </w:style>
  <w:style w:type="paragraph" w:styleId="NormalWeb">
    <w:name w:val="Normal (Web)"/>
    <w:basedOn w:val="Normal"/>
    <w:uiPriority w:val="99"/>
    <w:semiHidden/>
    <w:unhideWhenUsed/>
    <w:rsid w:val="006D77C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16</Pages>
  <Words>663</Words>
  <Characters>4806</Characters>
  <Application>Microsoft Office Word</Application>
  <DocSecurity>0</DocSecurity>
  <Lines>114</Lines>
  <Paragraphs>85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KONE SOUHIMBOU DOH</dc:creator>
  <cp:keywords/>
  <dc:description/>
  <cp:lastModifiedBy>Ced Rabbi</cp:lastModifiedBy>
  <cp:revision>1</cp:revision>
  <dcterms:created xsi:type="dcterms:W3CDTF">2025-12-17T16:40:00Z</dcterms:created>
  <dcterms:modified xsi:type="dcterms:W3CDTF">2025-12-17T16:58:00Z</dcterms:modified>
</cp:coreProperties>
</file>