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NIRIS – Protocol Packet (Persona: Maria R., L4–L5)</w:t>
      </w:r>
    </w:p>
    <w:p>
      <w:pPr>
        <w:jc w:val="center"/>
      </w:pPr>
      <w:r>
        <w:t>Base, non-invasive protocol for lumbar disc herniation with radicular pain, using ethical, consent-first neurofeedback and autonomic regulation.</w:t>
      </w:r>
    </w:p>
    <w:p>
      <w:pPr>
        <w:pStyle w:val="Heading2"/>
      </w:pPr>
      <w:r>
        <w:t>1) Persona Summary</w:t>
      </w:r>
    </w:p>
    <w:p>
      <w:r>
        <w:t>Maria R., 55, presents with L4–L5 disc herniation and chronic low-back pain with intermittent radicular symptoms. Sleep is fragmented; daytime fatigue and pain interference are notable. Prefers non-invasive care.</w:t>
      </w:r>
    </w:p>
    <w:p>
      <w:pPr>
        <w:pStyle w:val="Heading2"/>
      </w:pPr>
      <w:r>
        <w:t>2) Objectives</w:t>
      </w:r>
    </w:p>
    <w:p>
      <w:r>
        <w:t>- Reduce pain interference and disability.</w:t>
        <w:br/>
        <w:t>- Improve autonomic balance (HRV) and resting EEG alpha stability.</w:t>
        <w:br/>
        <w:t>- Support sleep consolidation and daytime function.</w:t>
        <w:br/>
        <w:t>- Ensure safety with trauma-informed, consent-driven delivery.</w:t>
      </w:r>
    </w:p>
    <w:p>
      <w:pPr>
        <w:pStyle w:val="Heading2"/>
      </w:pPr>
      <w:r>
        <w:t>3) Inclusion / Exclusion</w:t>
      </w:r>
    </w:p>
    <w:p>
      <w:r>
        <w:t>Inclusion: Age 30–70; imaging or clinical exam consistent with L4–L5 disc issue; stable medications; willing and able to consent.</w:t>
        <w:br/>
        <w:t>Exclusion: Uncontrolled seizure disorder; implanted electronic devices contraindicating stimulation; active infection; severe psychiatric crisis.</w:t>
      </w:r>
    </w:p>
    <w:p>
      <w:pPr>
        <w:pStyle w:val="Heading2"/>
      </w:pPr>
      <w:r>
        <w:t>4) Consent Tiers</w:t>
      </w:r>
    </w:p>
    <w:p>
      <w:r>
        <w:t>Core: Demographics, HRV, session timestamps.</w:t>
        <w:br/>
        <w:t>Sensitive: Mood/sleep questionnaires (PHQ-9, ISI), NRS pain logs.</w:t>
        <w:br/>
        <w:t>Clinical: Optional EEG alpha recording, clinician-ordered TENS.</w:t>
        <w:br/>
        <w:t>Research: De-identified export for methods improvement.</w:t>
      </w:r>
    </w:p>
    <w:p>
      <w:pPr>
        <w:pStyle w:val="Heading2"/>
      </w:pPr>
      <w:r>
        <w:t>5) Baseline Measures</w:t>
      </w:r>
    </w:p>
    <w:p>
      <w:r>
        <w:t>Oswestry Disability Index (ODI); NRS pain (0–10); HRV (RMSSD/SDNN) morning/evening; optional EEG alpha (eyes-closed 2×); sleep awakenings.</w:t>
      </w:r>
    </w:p>
    <w:p>
      <w:pPr>
        <w:pStyle w:val="Heading2"/>
      </w:pPr>
      <w:r>
        <w:t>6) Devices &amp; Stack</w:t>
      </w:r>
    </w:p>
    <w:p>
      <w:r>
        <w:t>OpenBCI or comparable EEG (optional); HR strap (BLE) for HRV; Raspberry Pi/Jetson for session control; mobile app for consent and PROs; Medical Nexus AI with FHIR bridge for Observations and QuestionnaireResponse.</w:t>
      </w:r>
    </w:p>
    <w:p>
      <w:pPr>
        <w:pStyle w:val="Heading2"/>
      </w:pPr>
      <w:r>
        <w:t>7) Session Protocol (Weeks 2–4)</w:t>
      </w:r>
    </w:p>
    <w:p>
      <w:r>
        <w:t>Daily 12-minute session:</w:t>
        <w:br/>
        <w:t xml:space="preserve">  • 2 min paced breathing (coherence)</w:t>
        <w:br/>
        <w:t xml:space="preserve">  • 8 min eyes-closed alpha up-train (simple visual feedback)</w:t>
        <w:br/>
        <w:t xml:space="preserve">  • 2 min cool-down</w:t>
        <w:br/>
        <w:t>Micro-prompts: posture &amp; micro-break coaching every ~90 minutes while awake.</w:t>
        <w:br/>
        <w:t>Baseline Week: measures only; no neurofeedback.</w:t>
        <w:br/>
        <w:t>EEG Alpha: record 2×/week during up-train.</w:t>
      </w:r>
    </w:p>
    <w:p>
      <w:pPr>
        <w:pStyle w:val="Heading2"/>
      </w:pPr>
      <w:r>
        <w:t>8) Safety &amp; Stop Criteria</w:t>
      </w:r>
    </w:p>
    <w:p>
      <w:r>
        <w:t>Immediate pause on headache, dizziness, panic, nausea, or visual discomfort. Contraindications screen at onboarding. “Pause all” control visible at all times.</w:t>
      </w:r>
    </w:p>
    <w:p>
      <w:pPr>
        <w:pStyle w:val="Heading2"/>
      </w:pPr>
      <w:r>
        <w:t>9) Outcome Measures &amp; Success Thresholds</w:t>
      </w:r>
    </w:p>
    <w:p>
      <w:r>
        <w:t>Primary: ≥30% reduction in ODI or pain interference by day 28.</w:t>
        <w:br/>
        <w:t>Secondary: HRV RMSSD upward trend; alpha stability on training days; reduction in nightly awakenings.</w:t>
      </w:r>
    </w:p>
    <w:p>
      <w:pPr>
        <w:pStyle w:val="Heading2"/>
      </w:pPr>
      <w:r>
        <w:t>10) Data Capture &amp; FHIR Mapping</w:t>
      </w:r>
    </w:p>
    <w:p>
      <w:r>
        <w:t>FHIR: Patient; Consent; Encounter; Observation (HR, HRV RMSSD/SDNN; EEG-derived alpha summaries); Device/DeviceMetric; Questionnaire/QuestionnaireResponse (ODI; NRS; ISI); CarePlan; ServiceRequest; Provenance.</w:t>
      </w:r>
    </w:p>
    <w:p>
      <w:pPr>
        <w:pStyle w:val="Heading2"/>
      </w:pPr>
      <w:r>
        <w:t>11) Privacy &amp; Ethics</w:t>
      </w:r>
    </w:p>
    <w:p>
      <w:r>
        <w:t>Local-first storage; encryption at rest; de-identification prior to research sharing; trauma-informed scripts; no black-box claims; clear disclaimers. Non-therapeutic feasibility unless under IRB/physician supervision.</w:t>
      </w:r>
    </w:p>
    <w:p>
      <w:pPr>
        <w:pStyle w:val="Heading2"/>
      </w:pPr>
      <w:r>
        <w:t>12) Simulation Results (28 Days, Synthetic)</w:t>
      </w:r>
    </w:p>
    <w:p>
      <w:r>
        <w:t>HRV (RMSSD) Trend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RIS_Maria_HR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NRS Pain Trend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RIS_Maria_Pa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EEG Alpha (Normalized) on Training Days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RIS_Maria_Alph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ODI: baseline 44 → day 28 31 (≈30% reduction).</w:t>
        <w:br/>
        <w:t>HRV increased from low 20s toward low 30s (RMSSD). NRS trended from ~7.0 toward ~4.5. Sleep awakenings decreased modestly.</w:t>
        <w:br/>
        <w:t>No adverse events triggered the auto-pause rule in this simulation.</w:t>
      </w:r>
    </w:p>
    <w:p>
      <w:pPr>
        <w:pStyle w:val="Heading2"/>
      </w:pPr>
      <w:r>
        <w:t>13) Sample Session Flow (UI Copy)</w:t>
      </w:r>
    </w:p>
    <w:p>
      <w:r>
        <w:t>• Welcome/consent status visible</w:t>
        <w:br/>
        <w:t>• Contraindication check</w:t>
        <w:br/>
        <w:t>• Breath pacing (timer + gentle tone)</w:t>
        <w:br/>
        <w:t>• Alpha feedback (eyes-closed, simple bar/metric)</w:t>
        <w:br/>
        <w:t>• Cool-down + reflect (1–2 prompts)</w:t>
        <w:br/>
        <w:t>• Post-session mood/pain check</w:t>
        <w:br/>
        <w:t>• Save &amp; sync to Medical Nexus</w:t>
      </w:r>
    </w:p>
    <w:p>
      <w:pPr>
        <w:pStyle w:val="Heading2"/>
      </w:pPr>
      <w:r>
        <w:t>14) Disclaimers</w:t>
      </w:r>
    </w:p>
    <w:p>
      <w:r>
        <w:t>This protocol and the included simulation are for feasibility design and research planning. They are not medical advice or a substitute for clinical care. Any clinical use requires licensed oversight and IRB approval.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