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S.R.S. Base System Development &amp; Staffing Blueprint</w:t>
      </w:r>
      <w:r>
        <w:t xml:space="preserve"> </w:t>
      </w:r>
      <w:r>
        <w:rPr>
          <w:i/>
          <w:iCs/>
        </w:rPr>
        <w:t xml:space="preserve">Foundational Planning for the Initial Build-Out of Synthetic Repair Systems</w:t>
      </w:r>
    </w:p>
    <w:p>
      <w:r>
        <w:pict>
          <v:rect style="width:0;height:1.5pt" o:hralign="center" o:hrstd="t" o:hr="t"/>
        </w:pict>
      </w:r>
    </w:p>
    <w:bookmarkStart w:id="20" w:name="i.-philosophical-grounding"/>
    <w:p>
      <w:pPr>
        <w:pStyle w:val="Heading3"/>
      </w:pPr>
      <w:r>
        <w:rPr>
          <w:b/>
          <w:bCs/>
        </w:rPr>
        <w:t xml:space="preserve">I. Philosophical Grounding</w:t>
      </w:r>
    </w:p>
    <w:p>
      <w:pPr>
        <w:pStyle w:val="FirstParagraph"/>
      </w:pPr>
      <w:r>
        <w:t xml:space="preserve">Before any advanced quantum-layered deployment can be explored, the base systems of S.R.S. must be fully designed, built, tested, and refined. These systems include NIRIS, REGENCORE, VITAWEAVE, and SERENISYNC. They form the bedrock of what later becomes amplified via quantum-computational overlays.</w:t>
      </w:r>
    </w:p>
    <w:p>
      <w:pPr>
        <w:pStyle w:val="BodyText"/>
      </w:pPr>
      <w:r>
        <w:t xml:space="preserve">Each system focuses on:</w:t>
      </w:r>
      <w:r>
        <w:t xml:space="preserve"> </w:t>
      </w:r>
      <w:r>
        <w:t xml:space="preserve">-</w:t>
      </w:r>
      <w:r>
        <w:t xml:space="preserve"> </w:t>
      </w:r>
      <w:r>
        <w:rPr>
          <w:b/>
          <w:bCs/>
        </w:rPr>
        <w:t xml:space="preserve">NIRIS</w:t>
      </w:r>
      <w:r>
        <w:t xml:space="preserve">: Neurological integration and repair</w:t>
      </w:r>
      <w:r>
        <w:t xml:space="preserve"> </w:t>
      </w:r>
      <w:r>
        <w:t xml:space="preserve">-</w:t>
      </w:r>
      <w:r>
        <w:t xml:space="preserve"> </w:t>
      </w:r>
      <w:r>
        <w:rPr>
          <w:b/>
          <w:bCs/>
        </w:rPr>
        <w:t xml:space="preserve">REGENCORE</w:t>
      </w:r>
      <w:r>
        <w:t xml:space="preserve">: Structural and musculoskeletal regeneration</w:t>
      </w:r>
      <w:r>
        <w:t xml:space="preserve"> </w:t>
      </w:r>
      <w:r>
        <w:t xml:space="preserve">-</w:t>
      </w:r>
      <w:r>
        <w:t xml:space="preserve"> </w:t>
      </w:r>
      <w:r>
        <w:rPr>
          <w:b/>
          <w:bCs/>
        </w:rPr>
        <w:t xml:space="preserve">VITAWEAVE</w:t>
      </w:r>
      <w:r>
        <w:t xml:space="preserve">: Fascia, lymphatic, and flow regulation</w:t>
      </w:r>
      <w:r>
        <w:t xml:space="preserve"> </w:t>
      </w:r>
      <w:r>
        <w:t xml:space="preserve">-</w:t>
      </w:r>
      <w:r>
        <w:t xml:space="preserve"> </w:t>
      </w:r>
      <w:r>
        <w:rPr>
          <w:b/>
          <w:bCs/>
        </w:rPr>
        <w:t xml:space="preserve">SERENISYNC</w:t>
      </w:r>
      <w:r>
        <w:t xml:space="preserve">: Emotional-psychological healing and trauma resolution</w:t>
      </w:r>
    </w:p>
    <w:p>
      <w:pPr>
        <w:pStyle w:val="BodyText"/>
      </w:pPr>
      <w:r>
        <w:t xml:space="preserve">The initial deployment of these technologies will rely on accessible, classical computing architectures, microcontrollers, embedded systems, and open-source AI toolkits.</w:t>
      </w:r>
    </w:p>
    <w:p>
      <w:r>
        <w:pict>
          <v:rect style="width:0;height:1.5pt" o:hralign="center" o:hrstd="t" o:hr="t"/>
        </w:pict>
      </w:r>
    </w:p>
    <w:bookmarkEnd w:id="20"/>
    <w:bookmarkStart w:id="21" w:name="ii.-base-system-objectives-2025-2027"/>
    <w:p>
      <w:pPr>
        <w:pStyle w:val="Heading3"/>
      </w:pPr>
      <w:r>
        <w:rPr>
          <w:b/>
          <w:bCs/>
        </w:rPr>
        <w:t xml:space="preserve">II. Base System Objectives (2025-2027)</w:t>
      </w:r>
    </w:p>
    <w:p>
      <w:pPr>
        <w:pStyle w:val="Compact"/>
        <w:numPr>
          <w:ilvl w:val="0"/>
          <w:numId w:val="1001"/>
        </w:numPr>
      </w:pPr>
      <w:r>
        <w:t xml:space="preserve">Build viable prototypes for each of the four base systems.</w:t>
      </w:r>
    </w:p>
    <w:p>
      <w:pPr>
        <w:pStyle w:val="Compact"/>
        <w:numPr>
          <w:ilvl w:val="0"/>
          <w:numId w:val="1001"/>
        </w:numPr>
      </w:pPr>
      <w:r>
        <w:t xml:space="preserve">Test systems with synthetic tissue and in vitro biological models.</w:t>
      </w:r>
    </w:p>
    <w:p>
      <w:pPr>
        <w:pStyle w:val="Compact"/>
        <w:numPr>
          <w:ilvl w:val="0"/>
          <w:numId w:val="1001"/>
        </w:numPr>
      </w:pPr>
      <w:r>
        <w:t xml:space="preserve">Ensure strict ethical reviews are completed (IRB, EthicsNet, etc).</w:t>
      </w:r>
    </w:p>
    <w:p>
      <w:pPr>
        <w:pStyle w:val="Compact"/>
        <w:numPr>
          <w:ilvl w:val="0"/>
          <w:numId w:val="1001"/>
        </w:numPr>
      </w:pPr>
      <w:r>
        <w:t xml:space="preserve">Develop modular deployment units (clinical pods, home sanctuaries).</w:t>
      </w:r>
    </w:p>
    <w:p>
      <w:pPr>
        <w:pStyle w:val="Compact"/>
        <w:numPr>
          <w:ilvl w:val="0"/>
          <w:numId w:val="1001"/>
        </w:numPr>
      </w:pPr>
      <w:r>
        <w:t xml:space="preserve">Gather feedback from interdisciplinary collaborators.</w:t>
      </w:r>
    </w:p>
    <w:p>
      <w:r>
        <w:pict>
          <v:rect style="width:0;height:1.5pt" o:hralign="center" o:hrstd="t" o:hr="t"/>
        </w:pict>
      </w:r>
    </w:p>
    <w:bookmarkEnd w:id="21"/>
    <w:bookmarkStart w:id="22" w:name="iii.-prototype-development-path"/>
    <w:p>
      <w:pPr>
        <w:pStyle w:val="Heading3"/>
      </w:pPr>
      <w:r>
        <w:rPr>
          <w:b/>
          <w:bCs/>
        </w:rPr>
        <w:t xml:space="preserve">III. Prototype Development Path</w:t>
      </w:r>
    </w:p>
    <w:p>
      <w:pPr>
        <w:pStyle w:val="FirstParagraph"/>
      </w:pPr>
      <w:r>
        <w:rPr>
          <w:b/>
          <w:bCs/>
        </w:rPr>
        <w:t xml:space="preserve">Tools &amp; Platforms:</w:t>
      </w:r>
      <w:r>
        <w:t xml:space="preserve"> </w:t>
      </w:r>
      <w:r>
        <w:t xml:space="preserve">- TensorFlow Lite for Microcontrollers (SERENISYNC neural loops)</w:t>
      </w:r>
      <w:r>
        <w:t xml:space="preserve"> </w:t>
      </w:r>
      <w:r>
        <w:t xml:space="preserve">- Raspberry Pi / Arduino integrations (VITAWEAVE biosensing arrays)</w:t>
      </w:r>
      <w:r>
        <w:t xml:space="preserve"> </w:t>
      </w:r>
      <w:r>
        <w:t xml:space="preserve">- CRISPR-Cas simulation models (REGENCORE gene pathway mapping)</w:t>
      </w:r>
      <w:r>
        <w:t xml:space="preserve"> </w:t>
      </w:r>
      <w:r>
        <w:t xml:space="preserve">- Biocompatible nanoscaffold 3D printing (NIRIS microchannel support)</w:t>
      </w:r>
      <w:r>
        <w:t xml:space="preserve"> </w:t>
      </w:r>
      <w:r>
        <w:t xml:space="preserve">- Unity or Unreal Engine (for interface simulation and virtual training)</w:t>
      </w:r>
    </w:p>
    <w:p>
      <w:pPr>
        <w:pStyle w:val="BodyText"/>
      </w:pPr>
      <w:r>
        <w:rPr>
          <w:b/>
          <w:bCs/>
        </w:rPr>
        <w:t xml:space="preserve">Phase Timeline:</w:t>
      </w:r>
      <w:r>
        <w:t xml:space="preserve"> </w:t>
      </w:r>
      <w:r>
        <w:t xml:space="preserve">-</w:t>
      </w:r>
      <w:r>
        <w:t xml:space="preserve"> </w:t>
      </w:r>
      <w:r>
        <w:rPr>
          <w:b/>
          <w:bCs/>
        </w:rPr>
        <w:t xml:space="preserve">Q3 2025:</w:t>
      </w:r>
      <w:r>
        <w:t xml:space="preserve"> </w:t>
      </w:r>
      <w:r>
        <w:t xml:space="preserve">Research refinement, ethics prep, lab network building</w:t>
      </w:r>
      <w:r>
        <w:t xml:space="preserve"> </w:t>
      </w:r>
      <w:r>
        <w:t xml:space="preserve">-</w:t>
      </w:r>
      <w:r>
        <w:t xml:space="preserve"> </w:t>
      </w:r>
      <w:r>
        <w:rPr>
          <w:b/>
          <w:bCs/>
        </w:rPr>
        <w:t xml:space="preserve">Q4 2025 - Q1 2026:</w:t>
      </w:r>
      <w:r>
        <w:t xml:space="preserve"> </w:t>
      </w:r>
      <w:r>
        <w:t xml:space="preserve">Subsystem builds and modular testing</w:t>
      </w:r>
      <w:r>
        <w:t xml:space="preserve"> </w:t>
      </w:r>
      <w:r>
        <w:t xml:space="preserve">-</w:t>
      </w:r>
      <w:r>
        <w:t xml:space="preserve"> </w:t>
      </w:r>
      <w:r>
        <w:rPr>
          <w:b/>
          <w:bCs/>
        </w:rPr>
        <w:t xml:space="preserve">Q2 2026:</w:t>
      </w:r>
      <w:r>
        <w:t xml:space="preserve"> </w:t>
      </w:r>
      <w:r>
        <w:t xml:space="preserve">Closed feedback loop integration, iterative testing</w:t>
      </w:r>
      <w:r>
        <w:t xml:space="preserve"> </w:t>
      </w:r>
      <w:r>
        <w:t xml:space="preserve">-</w:t>
      </w:r>
      <w:r>
        <w:t xml:space="preserve"> </w:t>
      </w:r>
      <w:r>
        <w:rPr>
          <w:b/>
          <w:bCs/>
        </w:rPr>
        <w:t xml:space="preserve">Q3-Q4 2026:</w:t>
      </w:r>
      <w:r>
        <w:t xml:space="preserve"> </w:t>
      </w:r>
      <w:r>
        <w:t xml:space="preserve">Multi-system integration, live simulations</w:t>
      </w:r>
    </w:p>
    <w:p>
      <w:r>
        <w:pict>
          <v:rect style="width:0;height:1.5pt" o:hralign="center" o:hrstd="t" o:hr="t"/>
        </w:pict>
      </w:r>
    </w:p>
    <w:bookmarkEnd w:id="22"/>
    <w:bookmarkStart w:id="27" w:name="Xf63391c156a00c8fe172236eba0e5e2a36e23fc"/>
    <w:p>
      <w:pPr>
        <w:pStyle w:val="Heading3"/>
      </w:pPr>
      <w:r>
        <w:rPr>
          <w:b/>
          <w:bCs/>
        </w:rPr>
        <w:t xml:space="preserve">IV. Core Staffing Roles (Phase I: Base Systems)</w:t>
      </w:r>
    </w:p>
    <w:p>
      <w:pPr>
        <w:pStyle w:val="FirstParagraph"/>
      </w:pPr>
      <w:r>
        <w:t xml:space="preserve">The team should reflect a hybrid of technical, clinical, and narrative intelligence to match S.R.S.’s structure.</w:t>
      </w:r>
    </w:p>
    <w:bookmarkStart w:id="23" w:name="technical-engineering-team"/>
    <w:p>
      <w:pPr>
        <w:pStyle w:val="Heading4"/>
      </w:pPr>
      <w:r>
        <w:rPr>
          <w:b/>
          <w:bCs/>
        </w:rPr>
        <w:t xml:space="preserve">1. Technical &amp; Engineering Team</w:t>
      </w:r>
    </w:p>
    <w:p>
      <w:pPr>
        <w:pStyle w:val="Compact"/>
        <w:numPr>
          <w:ilvl w:val="0"/>
          <w:numId w:val="1002"/>
        </w:numPr>
      </w:pPr>
      <w:r>
        <w:rPr>
          <w:b/>
          <w:bCs/>
        </w:rPr>
        <w:t xml:space="preserve">Lead Systems Architect (1)</w:t>
      </w:r>
      <w:r>
        <w:t xml:space="preserve"> </w:t>
      </w:r>
      <w:r>
        <w:t xml:space="preserve">– Oversees infrastructure, integration, and modular design across all systems.</w:t>
      </w:r>
    </w:p>
    <w:p>
      <w:pPr>
        <w:pStyle w:val="Compact"/>
        <w:numPr>
          <w:ilvl w:val="0"/>
          <w:numId w:val="1002"/>
        </w:numPr>
      </w:pPr>
      <w:r>
        <w:rPr>
          <w:b/>
          <w:bCs/>
        </w:rPr>
        <w:t xml:space="preserve">Embedded Systems Engineer (2)</w:t>
      </w:r>
      <w:r>
        <w:t xml:space="preserve"> </w:t>
      </w:r>
      <w:r>
        <w:t xml:space="preserve">– Specializes in hardware interfaces, low-level code, and signal capture.</w:t>
      </w:r>
    </w:p>
    <w:p>
      <w:pPr>
        <w:pStyle w:val="Compact"/>
        <w:numPr>
          <w:ilvl w:val="0"/>
          <w:numId w:val="1002"/>
        </w:numPr>
      </w:pPr>
      <w:r>
        <w:rPr>
          <w:b/>
          <w:bCs/>
        </w:rPr>
        <w:t xml:space="preserve">Biomedical Engineer (2)</w:t>
      </w:r>
      <w:r>
        <w:t xml:space="preserve"> </w:t>
      </w:r>
      <w:r>
        <w:t xml:space="preserve">– Prototypes regenerative scaffolds, biofeedback loops, and biocompatible interfaces.</w:t>
      </w:r>
    </w:p>
    <w:p>
      <w:pPr>
        <w:pStyle w:val="Compact"/>
        <w:numPr>
          <w:ilvl w:val="0"/>
          <w:numId w:val="1002"/>
        </w:numPr>
      </w:pPr>
      <w:r>
        <w:rPr>
          <w:b/>
          <w:bCs/>
        </w:rPr>
        <w:t xml:space="preserve">AI/ML Engineer (2)</w:t>
      </w:r>
      <w:r>
        <w:t xml:space="preserve"> </w:t>
      </w:r>
      <w:r>
        <w:t xml:space="preserve">– Develops real-time predictive models and adaptive learning feedback.</w:t>
      </w:r>
    </w:p>
    <w:p>
      <w:pPr>
        <w:pStyle w:val="Compact"/>
        <w:numPr>
          <w:ilvl w:val="0"/>
          <w:numId w:val="1002"/>
        </w:numPr>
      </w:pPr>
      <w:r>
        <w:rPr>
          <w:b/>
          <w:bCs/>
        </w:rPr>
        <w:t xml:space="preserve">UX/Narrative Interface Developer (1)</w:t>
      </w:r>
      <w:r>
        <w:t xml:space="preserve"> </w:t>
      </w:r>
      <w:r>
        <w:t xml:space="preserve">– Crafts emotionally attuned interaction layers, likely from a gaming or VR background.</w:t>
      </w:r>
    </w:p>
    <w:bookmarkEnd w:id="23"/>
    <w:bookmarkStart w:id="24" w:name="medical-scientific-team"/>
    <w:p>
      <w:pPr>
        <w:pStyle w:val="Heading4"/>
      </w:pPr>
      <w:r>
        <w:rPr>
          <w:b/>
          <w:bCs/>
        </w:rPr>
        <w:t xml:space="preserve">2. Medical &amp; Scientific Team</w:t>
      </w:r>
    </w:p>
    <w:p>
      <w:pPr>
        <w:pStyle w:val="Compact"/>
        <w:numPr>
          <w:ilvl w:val="0"/>
          <w:numId w:val="1003"/>
        </w:numPr>
      </w:pPr>
      <w:r>
        <w:rPr>
          <w:b/>
          <w:bCs/>
        </w:rPr>
        <w:t xml:space="preserve">Neuroscience Consultant (1)</w:t>
      </w:r>
      <w:r>
        <w:t xml:space="preserve"> </w:t>
      </w:r>
      <w:r>
        <w:t xml:space="preserve">– Deeply understands axonal repair, BCI, and neuroinflammation.</w:t>
      </w:r>
    </w:p>
    <w:p>
      <w:pPr>
        <w:pStyle w:val="Compact"/>
        <w:numPr>
          <w:ilvl w:val="0"/>
          <w:numId w:val="1003"/>
        </w:numPr>
      </w:pPr>
      <w:r>
        <w:rPr>
          <w:b/>
          <w:bCs/>
        </w:rPr>
        <w:t xml:space="preserve">Orthopedic Specialist (1)</w:t>
      </w:r>
      <w:r>
        <w:t xml:space="preserve"> </w:t>
      </w:r>
      <w:r>
        <w:t xml:space="preserve">– Assists with disc and skeletal regeneration planning.</w:t>
      </w:r>
    </w:p>
    <w:p>
      <w:pPr>
        <w:pStyle w:val="Compact"/>
        <w:numPr>
          <w:ilvl w:val="0"/>
          <w:numId w:val="1003"/>
        </w:numPr>
      </w:pPr>
      <w:r>
        <w:rPr>
          <w:b/>
          <w:bCs/>
        </w:rPr>
        <w:t xml:space="preserve">Immunologist/Bioethicist (1)</w:t>
      </w:r>
      <w:r>
        <w:t xml:space="preserve"> </w:t>
      </w:r>
      <w:r>
        <w:t xml:space="preserve">– Advises on immune interface challenges and ethical oversight.</w:t>
      </w:r>
    </w:p>
    <w:p>
      <w:pPr>
        <w:pStyle w:val="Compact"/>
        <w:numPr>
          <w:ilvl w:val="0"/>
          <w:numId w:val="1003"/>
        </w:numPr>
      </w:pPr>
      <w:r>
        <w:rPr>
          <w:b/>
          <w:bCs/>
        </w:rPr>
        <w:t xml:space="preserve">Clinical Research Coordinator (1)</w:t>
      </w:r>
      <w:r>
        <w:t xml:space="preserve"> </w:t>
      </w:r>
      <w:r>
        <w:t xml:space="preserve">– Manages trial protocols, compliance, and study data.</w:t>
      </w:r>
    </w:p>
    <w:bookmarkEnd w:id="24"/>
    <w:bookmarkStart w:id="25" w:name="creative-emotional-layer-team"/>
    <w:p>
      <w:pPr>
        <w:pStyle w:val="Heading4"/>
      </w:pPr>
      <w:r>
        <w:rPr>
          <w:b/>
          <w:bCs/>
        </w:rPr>
        <w:t xml:space="preserve">3. Creative &amp; Emotional Layer Team</w:t>
      </w:r>
    </w:p>
    <w:p>
      <w:pPr>
        <w:pStyle w:val="Compact"/>
        <w:numPr>
          <w:ilvl w:val="0"/>
          <w:numId w:val="1004"/>
        </w:numPr>
      </w:pPr>
      <w:r>
        <w:rPr>
          <w:b/>
          <w:bCs/>
        </w:rPr>
        <w:t xml:space="preserve">Narrative Integration Specialist (1)</w:t>
      </w:r>
      <w:r>
        <w:t xml:space="preserve"> </w:t>
      </w:r>
      <w:r>
        <w:t xml:space="preserve">– Bridges story structures with healing trajectories (especially for SERENISYNC).</w:t>
      </w:r>
    </w:p>
    <w:p>
      <w:pPr>
        <w:pStyle w:val="Compact"/>
        <w:numPr>
          <w:ilvl w:val="0"/>
          <w:numId w:val="1004"/>
        </w:numPr>
      </w:pPr>
      <w:r>
        <w:rPr>
          <w:b/>
          <w:bCs/>
        </w:rPr>
        <w:t xml:space="preserve">Human Factors Psychologist (1)</w:t>
      </w:r>
      <w:r>
        <w:t xml:space="preserve"> </w:t>
      </w:r>
      <w:r>
        <w:t xml:space="preserve">– Optimizes interface design for emotional engagement.</w:t>
      </w:r>
    </w:p>
    <w:p>
      <w:pPr>
        <w:pStyle w:val="Compact"/>
        <w:numPr>
          <w:ilvl w:val="0"/>
          <w:numId w:val="1004"/>
        </w:numPr>
      </w:pPr>
      <w:r>
        <w:rPr>
          <w:b/>
          <w:bCs/>
        </w:rPr>
        <w:t xml:space="preserve">Creative Director (1)</w:t>
      </w:r>
      <w:r>
        <w:t xml:space="preserve"> </w:t>
      </w:r>
      <w:r>
        <w:t xml:space="preserve">– Unites aesthetic, symbolic, and humanistic design across platforms.</w:t>
      </w:r>
    </w:p>
    <w:bookmarkEnd w:id="25"/>
    <w:bookmarkStart w:id="26" w:name="administrative-strategic-roles"/>
    <w:p>
      <w:pPr>
        <w:pStyle w:val="Heading4"/>
      </w:pPr>
      <w:r>
        <w:rPr>
          <w:b/>
          <w:bCs/>
        </w:rPr>
        <w:t xml:space="preserve">4. Administrative &amp; Strategic Roles</w:t>
      </w:r>
    </w:p>
    <w:p>
      <w:pPr>
        <w:pStyle w:val="Compact"/>
        <w:numPr>
          <w:ilvl w:val="0"/>
          <w:numId w:val="1005"/>
        </w:numPr>
      </w:pPr>
      <w:r>
        <w:rPr>
          <w:b/>
          <w:bCs/>
        </w:rPr>
        <w:t xml:space="preserve">Legal Strategist (1)</w:t>
      </w:r>
      <w:r>
        <w:t xml:space="preserve"> </w:t>
      </w:r>
      <w:r>
        <w:t xml:space="preserve">– Navigates regulatory landscapes, IP, and contracts.</w:t>
      </w:r>
    </w:p>
    <w:p>
      <w:pPr>
        <w:pStyle w:val="Compact"/>
        <w:numPr>
          <w:ilvl w:val="0"/>
          <w:numId w:val="1005"/>
        </w:numPr>
      </w:pPr>
      <w:r>
        <w:rPr>
          <w:b/>
          <w:bCs/>
        </w:rPr>
        <w:t xml:space="preserve">Grant &amp; Funding Manager (1)</w:t>
      </w:r>
      <w:r>
        <w:t xml:space="preserve"> </w:t>
      </w:r>
      <w:r>
        <w:t xml:space="preserve">– Leads on federal, academic, and philanthropic resource alignment.</w:t>
      </w:r>
    </w:p>
    <w:p>
      <w:pPr>
        <w:pStyle w:val="Compact"/>
        <w:numPr>
          <w:ilvl w:val="0"/>
          <w:numId w:val="1005"/>
        </w:numPr>
      </w:pPr>
      <w:r>
        <w:rPr>
          <w:b/>
          <w:bCs/>
        </w:rPr>
        <w:t xml:space="preserve">Operations Manager (1)</w:t>
      </w:r>
      <w:r>
        <w:t xml:space="preserve"> </w:t>
      </w:r>
      <w:r>
        <w:t xml:space="preserve">– Coordinates timelines, logistics, and cross-team flow.</w:t>
      </w:r>
    </w:p>
    <w:p>
      <w:pPr>
        <w:pStyle w:val="Compact"/>
        <w:numPr>
          <w:ilvl w:val="0"/>
          <w:numId w:val="1005"/>
        </w:numPr>
      </w:pPr>
      <w:r>
        <w:rPr>
          <w:b/>
          <w:bCs/>
        </w:rPr>
        <w:t xml:space="preserve">Cybersecurity Specialist (1)</w:t>
      </w:r>
      <w:r>
        <w:t xml:space="preserve"> </w:t>
      </w:r>
      <w:r>
        <w:t xml:space="preserve">– Ensures safe data pathways and ethical handling of patient data.</w:t>
      </w:r>
    </w:p>
    <w:p>
      <w:r>
        <w:pict>
          <v:rect style="width:0;height:1.5pt" o:hralign="center" o:hrstd="t" o:hr="t"/>
        </w:pict>
      </w:r>
    </w:p>
    <w:bookmarkEnd w:id="26"/>
    <w:bookmarkEnd w:id="27"/>
    <w:bookmarkStart w:id="28" w:name="v.-reflection-phased-onboarding"/>
    <w:p>
      <w:pPr>
        <w:pStyle w:val="Heading3"/>
      </w:pPr>
      <w:r>
        <w:rPr>
          <w:b/>
          <w:bCs/>
        </w:rPr>
        <w:t xml:space="preserve">V. Reflection &amp; Phased Onboarding</w:t>
      </w:r>
    </w:p>
    <w:p>
      <w:pPr>
        <w:pStyle w:val="FirstParagraph"/>
      </w:pPr>
      <w:r>
        <w:t xml:space="preserve">Recruitment should begin with multi-role flexibility (early team members may wear many hats), but designed for clean scaling. Intuition and emotional resonance in candidates should be valued as much as credentials.</w:t>
      </w:r>
    </w:p>
    <w:p>
      <w:pPr>
        <w:pStyle w:val="BodyText"/>
      </w:pPr>
      <w:r>
        <w:t xml:space="preserve">Initial focus:</w:t>
      </w:r>
      <w:r>
        <w:t xml:space="preserve"> </w:t>
      </w:r>
      <w:r>
        <w:rPr>
          <w:b/>
          <w:bCs/>
        </w:rPr>
        <w:t xml:space="preserve">NIRIS base prototype development</w:t>
      </w:r>
      <w:r>
        <w:t xml:space="preserve"> </w:t>
      </w:r>
      <w:r>
        <w:t xml:space="preserve">+ minimum viable infrastructure team.</w:t>
      </w:r>
    </w:p>
    <w:p>
      <w:pPr>
        <w:pStyle w:val="BodyText"/>
      </w:pPr>
      <w:r>
        <w:t xml:space="preserve">Pitch materials, one-on-one outreach, grant writing, and transparent narrative sharing will attract the right collaborators.</w:t>
      </w:r>
    </w:p>
    <w:p>
      <w:pPr>
        <w:pStyle w:val="BodyText"/>
      </w:pPr>
      <w:r>
        <w:rPr>
          <w:i/>
          <w:iCs/>
        </w:rPr>
        <w:t xml:space="preserve">This is only the beginning.</w:t>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2025-06-21T19:27:57Z</dcterms:created>
  <dcterms:modified xsi:type="dcterms:W3CDTF">2025-06-21T19:27:57Z</dcterms:modified>
</cp:coreProperties>
</file>

<file path=docProps/custom.xml><?xml version="1.0" encoding="utf-8"?>
<Properties xmlns="http://schemas.openxmlformats.org/officeDocument/2006/custom-properties" xmlns:vt="http://schemas.openxmlformats.org/officeDocument/2006/docPropsVTypes"/>
</file>