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rPr>
          <w:rFonts w:hint="eastAsia" w:ascii="黑体" w:hAnsi="黑体" w:eastAsia="黑体" w:cs="黑体"/>
          <w:sz w:val="28"/>
          <w:szCs w:val="28"/>
        </w:rPr>
      </w:pPr>
      <w:r>
        <w:rPr>
          <w:rFonts w:hint="eastAsia" w:ascii="黑体" w:hAnsi="黑体" w:eastAsia="黑体" w:cs="黑体"/>
          <w:sz w:val="28"/>
          <w:szCs w:val="28"/>
        </w:rPr>
        <w:t>附件1</w:t>
      </w:r>
    </w:p>
    <w:p>
      <w:pPr>
        <w:spacing w:line="480" w:lineRule="exact"/>
        <w:rPr>
          <w:rFonts w:hint="eastAsia" w:ascii="黑体" w:hAnsi="黑体" w:eastAsia="黑体" w:cs="黑体"/>
          <w:sz w:val="32"/>
          <w:szCs w:val="32"/>
        </w:rPr>
      </w:pPr>
    </w:p>
    <w:p>
      <w:pPr>
        <w:spacing w:line="480" w:lineRule="exact"/>
        <w:jc w:val="center"/>
        <w:rPr>
          <w:rFonts w:hint="eastAsia" w:ascii="宋体" w:hAnsi="宋体" w:cs="宋体"/>
          <w:b/>
          <w:bCs/>
          <w:kern w:val="0"/>
          <w:sz w:val="32"/>
          <w:szCs w:val="32"/>
        </w:rPr>
      </w:pPr>
      <w:r>
        <w:rPr>
          <w:rFonts w:hint="eastAsia" w:ascii="宋体" w:hAnsi="宋体" w:cs="宋体"/>
          <w:b/>
          <w:bCs/>
          <w:sz w:val="32"/>
          <w:szCs w:val="32"/>
        </w:rPr>
        <w:t>上海</w:t>
      </w:r>
      <w:r>
        <w:rPr>
          <w:rFonts w:hint="eastAsia" w:ascii="宋体" w:hAnsi="宋体" w:cs="宋体"/>
          <w:b/>
          <w:bCs/>
          <w:kern w:val="0"/>
          <w:sz w:val="32"/>
          <w:szCs w:val="32"/>
        </w:rPr>
        <w:t>银行公司客户封闭式非保本理财产品质押授信业务</w:t>
      </w:r>
    </w:p>
    <w:p>
      <w:pPr>
        <w:spacing w:line="480" w:lineRule="exact"/>
        <w:jc w:val="center"/>
        <w:rPr>
          <w:rFonts w:hint="eastAsia" w:ascii="宋体" w:hAnsi="宋体" w:cs="宋体"/>
          <w:b/>
          <w:bCs/>
          <w:kern w:val="0"/>
          <w:sz w:val="32"/>
          <w:szCs w:val="32"/>
        </w:rPr>
      </w:pPr>
      <w:r>
        <w:rPr>
          <w:rFonts w:hint="eastAsia" w:ascii="宋体" w:hAnsi="宋体" w:cs="宋体"/>
          <w:b/>
          <w:bCs/>
          <w:kern w:val="0"/>
          <w:sz w:val="32"/>
          <w:szCs w:val="32"/>
        </w:rPr>
        <w:t>操作规程</w:t>
      </w:r>
      <w:r>
        <w:rPr>
          <w:rFonts w:hint="eastAsia" w:ascii="宋体" w:hAnsi="宋体" w:cs="宋体"/>
          <w:b/>
          <w:sz w:val="32"/>
          <w:szCs w:val="32"/>
        </w:rPr>
        <w:t>（202</w:t>
      </w:r>
      <w:r>
        <w:rPr>
          <w:rFonts w:hint="eastAsia" w:ascii="宋体" w:hAnsi="宋体" w:cs="宋体"/>
          <w:b/>
          <w:sz w:val="32"/>
          <w:szCs w:val="32"/>
          <w:lang w:val="en-US" w:eastAsia="zh-CN"/>
        </w:rPr>
        <w:t>5</w:t>
      </w:r>
      <w:r>
        <w:rPr>
          <w:rFonts w:hint="eastAsia" w:ascii="宋体" w:hAnsi="宋体" w:cs="宋体"/>
          <w:b/>
          <w:sz w:val="32"/>
          <w:szCs w:val="32"/>
        </w:rPr>
        <w:t>年版）</w:t>
      </w:r>
    </w:p>
    <w:p>
      <w:pPr>
        <w:snapToGrid w:val="0"/>
        <w:spacing w:line="480" w:lineRule="exact"/>
        <w:rPr>
          <w:rFonts w:ascii="楷体_GB2312" w:hAnsi="华文楷体" w:eastAsia="楷体_GB2312"/>
          <w:b/>
          <w:bCs/>
          <w:sz w:val="32"/>
          <w:szCs w:val="32"/>
        </w:rPr>
      </w:pPr>
    </w:p>
    <w:p>
      <w:pPr>
        <w:snapToGrid w:val="0"/>
        <w:spacing w:line="480" w:lineRule="exact"/>
        <w:rPr>
          <w:rFonts w:hint="eastAsia" w:ascii="楷体" w:hAnsi="楷体" w:eastAsia="楷体" w:cs="楷体"/>
          <w:sz w:val="28"/>
          <w:szCs w:val="28"/>
        </w:rPr>
      </w:pPr>
      <w:r>
        <w:rPr>
          <w:rFonts w:hint="eastAsia" w:ascii="楷体" w:hAnsi="楷体" w:eastAsia="楷体" w:cs="楷体"/>
          <w:b/>
          <w:bCs/>
          <w:sz w:val="28"/>
          <w:szCs w:val="28"/>
        </w:rPr>
        <w:t>【拟稿部门】</w:t>
      </w:r>
      <w:r>
        <w:rPr>
          <w:rFonts w:hint="eastAsia" w:ascii="楷体" w:hAnsi="楷体" w:eastAsia="楷体" w:cs="楷体"/>
          <w:sz w:val="28"/>
          <w:szCs w:val="28"/>
        </w:rPr>
        <w:t>总行公司业务部</w:t>
      </w:r>
    </w:p>
    <w:p>
      <w:pPr>
        <w:snapToGrid w:val="0"/>
        <w:spacing w:line="480" w:lineRule="exact"/>
        <w:rPr>
          <w:rFonts w:hint="eastAsia" w:ascii="楷体" w:hAnsi="楷体" w:eastAsia="楷体" w:cs="楷体"/>
          <w:sz w:val="28"/>
          <w:szCs w:val="28"/>
        </w:rPr>
      </w:pPr>
      <w:r>
        <w:rPr>
          <w:rFonts w:hint="eastAsia" w:ascii="楷体" w:hAnsi="楷体" w:eastAsia="楷体" w:cs="楷体"/>
          <w:b/>
          <w:bCs/>
          <w:sz w:val="28"/>
          <w:szCs w:val="28"/>
        </w:rPr>
        <w:t>【发布文号】</w:t>
      </w:r>
      <w:r>
        <w:rPr>
          <w:rFonts w:hint="eastAsia" w:ascii="楷体" w:hAnsi="楷体" w:eastAsia="楷体" w:cs="楷体"/>
          <w:sz w:val="28"/>
          <w:szCs w:val="28"/>
        </w:rPr>
        <w:t>上银办〔202</w:t>
      </w:r>
      <w:r>
        <w:rPr>
          <w:rFonts w:hint="eastAsia" w:ascii="楷体" w:hAnsi="楷体" w:eastAsia="楷体" w:cs="楷体"/>
          <w:sz w:val="28"/>
          <w:szCs w:val="28"/>
          <w:lang w:val="en-US" w:eastAsia="zh-CN"/>
        </w:rPr>
        <w:t>5</w:t>
      </w:r>
      <w:r>
        <w:rPr>
          <w:rFonts w:hint="eastAsia" w:ascii="楷体" w:hAnsi="楷体" w:eastAsia="楷体" w:cs="楷体"/>
          <w:sz w:val="28"/>
          <w:szCs w:val="28"/>
        </w:rPr>
        <w:t>〕</w:t>
      </w:r>
      <w:r>
        <w:rPr>
          <w:rFonts w:hint="eastAsia" w:ascii="楷体" w:hAnsi="楷体" w:eastAsia="楷体" w:cs="楷体"/>
          <w:sz w:val="28"/>
          <w:szCs w:val="28"/>
          <w:lang w:val="en-US" w:eastAsia="zh-CN"/>
        </w:rPr>
        <w:t>149</w:t>
      </w:r>
      <w:r>
        <w:rPr>
          <w:rFonts w:hint="eastAsia" w:ascii="楷体" w:hAnsi="楷体" w:eastAsia="楷体" w:cs="楷体"/>
          <w:sz w:val="28"/>
          <w:szCs w:val="28"/>
        </w:rPr>
        <w:t>号</w:t>
      </w:r>
    </w:p>
    <w:p>
      <w:pPr>
        <w:snapToGrid w:val="0"/>
        <w:spacing w:line="480" w:lineRule="exact"/>
        <w:rPr>
          <w:rFonts w:hint="eastAsia" w:ascii="楷体" w:hAnsi="楷体" w:eastAsia="楷体" w:cs="楷体"/>
          <w:sz w:val="28"/>
          <w:szCs w:val="28"/>
        </w:rPr>
      </w:pPr>
      <w:r>
        <w:rPr>
          <w:rFonts w:hint="eastAsia" w:ascii="楷体" w:hAnsi="楷体" w:eastAsia="楷体" w:cs="楷体"/>
          <w:b/>
          <w:bCs/>
          <w:sz w:val="28"/>
          <w:szCs w:val="28"/>
        </w:rPr>
        <w:t>【印发日期】</w:t>
      </w:r>
      <w:r>
        <w:rPr>
          <w:rFonts w:hint="eastAsia" w:ascii="楷体" w:hAnsi="楷体" w:eastAsia="楷体" w:cs="楷体"/>
          <w:sz w:val="28"/>
          <w:szCs w:val="28"/>
        </w:rPr>
        <w:t>202</w:t>
      </w:r>
      <w:r>
        <w:rPr>
          <w:rFonts w:hint="eastAsia" w:ascii="楷体" w:hAnsi="楷体" w:eastAsia="楷体" w:cs="楷体"/>
          <w:sz w:val="28"/>
          <w:szCs w:val="28"/>
          <w:lang w:val="en-US" w:eastAsia="zh-CN"/>
        </w:rPr>
        <w:t>5</w:t>
      </w:r>
      <w:r>
        <w:rPr>
          <w:rFonts w:hint="eastAsia" w:ascii="楷体" w:hAnsi="楷体" w:eastAsia="楷体" w:cs="楷体"/>
          <w:sz w:val="28"/>
          <w:szCs w:val="28"/>
        </w:rPr>
        <w:t>年</w:t>
      </w:r>
      <w:r>
        <w:rPr>
          <w:rFonts w:hint="eastAsia" w:ascii="楷体" w:hAnsi="楷体" w:eastAsia="楷体" w:cs="楷体"/>
          <w:sz w:val="28"/>
          <w:szCs w:val="28"/>
          <w:lang w:val="en-US" w:eastAsia="zh-CN"/>
        </w:rPr>
        <w:t>7</w:t>
      </w:r>
      <w:r>
        <w:rPr>
          <w:rFonts w:hint="eastAsia" w:ascii="楷体" w:hAnsi="楷体" w:eastAsia="楷体" w:cs="楷体"/>
          <w:sz w:val="28"/>
          <w:szCs w:val="28"/>
        </w:rPr>
        <w:t>月</w:t>
      </w:r>
      <w:r>
        <w:rPr>
          <w:rFonts w:hint="eastAsia" w:ascii="楷体" w:hAnsi="楷体" w:eastAsia="楷体" w:cs="楷体"/>
          <w:sz w:val="28"/>
          <w:szCs w:val="28"/>
          <w:lang w:val="en-US" w:eastAsia="zh-CN"/>
        </w:rPr>
        <w:t>17</w:t>
      </w:r>
      <w:r>
        <w:rPr>
          <w:rFonts w:hint="eastAsia" w:ascii="楷体" w:hAnsi="楷体" w:eastAsia="楷体" w:cs="楷体"/>
          <w:sz w:val="28"/>
          <w:szCs w:val="28"/>
        </w:rPr>
        <w:t>日</w:t>
      </w:r>
    </w:p>
    <w:p>
      <w:pPr>
        <w:snapToGrid w:val="0"/>
        <w:spacing w:line="480" w:lineRule="exact"/>
        <w:rPr>
          <w:rFonts w:hint="eastAsia" w:ascii="楷体" w:hAnsi="楷体" w:eastAsia="楷体" w:cs="楷体"/>
          <w:sz w:val="28"/>
          <w:szCs w:val="28"/>
        </w:rPr>
      </w:pPr>
      <w:r>
        <w:rPr>
          <w:rFonts w:hint="eastAsia" w:ascii="楷体" w:hAnsi="楷体" w:eastAsia="楷体" w:cs="楷体"/>
          <w:b/>
          <w:bCs/>
          <w:sz w:val="28"/>
          <w:szCs w:val="28"/>
        </w:rPr>
        <w:t>【生效日期】</w:t>
      </w:r>
      <w:r>
        <w:rPr>
          <w:rFonts w:hint="eastAsia" w:ascii="楷体" w:hAnsi="楷体" w:eastAsia="楷体" w:cs="楷体"/>
          <w:sz w:val="28"/>
          <w:szCs w:val="28"/>
        </w:rPr>
        <w:t>202</w:t>
      </w:r>
      <w:r>
        <w:rPr>
          <w:rFonts w:hint="eastAsia" w:ascii="楷体" w:hAnsi="楷体" w:eastAsia="楷体" w:cs="楷体"/>
          <w:sz w:val="28"/>
          <w:szCs w:val="28"/>
          <w:lang w:val="en-US" w:eastAsia="zh-CN"/>
        </w:rPr>
        <w:t>5</w:t>
      </w:r>
      <w:r>
        <w:rPr>
          <w:rFonts w:hint="eastAsia" w:ascii="楷体" w:hAnsi="楷体" w:eastAsia="楷体" w:cs="楷体"/>
          <w:sz w:val="28"/>
          <w:szCs w:val="28"/>
        </w:rPr>
        <w:t>年</w:t>
      </w:r>
      <w:r>
        <w:rPr>
          <w:rFonts w:hint="eastAsia" w:ascii="楷体" w:hAnsi="楷体" w:eastAsia="楷体" w:cs="楷体"/>
          <w:sz w:val="28"/>
          <w:szCs w:val="28"/>
          <w:lang w:val="en-US" w:eastAsia="zh-CN"/>
        </w:rPr>
        <w:t>7</w:t>
      </w:r>
      <w:r>
        <w:rPr>
          <w:rFonts w:hint="eastAsia" w:ascii="楷体" w:hAnsi="楷体" w:eastAsia="楷体" w:cs="楷体"/>
          <w:sz w:val="28"/>
          <w:szCs w:val="28"/>
        </w:rPr>
        <w:t>月</w:t>
      </w:r>
      <w:r>
        <w:rPr>
          <w:rFonts w:hint="eastAsia" w:ascii="楷体" w:hAnsi="楷体" w:eastAsia="楷体" w:cs="楷体"/>
          <w:sz w:val="28"/>
          <w:szCs w:val="28"/>
          <w:lang w:val="en-US" w:eastAsia="zh-CN"/>
        </w:rPr>
        <w:t>17</w:t>
      </w:r>
      <w:r>
        <w:rPr>
          <w:rFonts w:hint="eastAsia" w:ascii="楷体" w:hAnsi="楷体" w:eastAsia="楷体" w:cs="楷体"/>
          <w:sz w:val="28"/>
          <w:szCs w:val="28"/>
        </w:rPr>
        <w:t>日</w:t>
      </w:r>
    </w:p>
    <w:p>
      <w:pPr>
        <w:snapToGrid w:val="0"/>
        <w:spacing w:line="480" w:lineRule="exact"/>
        <w:rPr>
          <w:rFonts w:hint="eastAsia" w:ascii="楷体" w:hAnsi="楷体" w:eastAsia="楷体" w:cs="楷体"/>
          <w:sz w:val="28"/>
          <w:szCs w:val="28"/>
        </w:rPr>
      </w:pPr>
      <w:r>
        <w:rPr>
          <w:rFonts w:hint="eastAsia" w:ascii="楷体" w:hAnsi="楷体" w:eastAsia="楷体" w:cs="楷体"/>
          <w:b/>
          <w:sz w:val="28"/>
          <w:szCs w:val="28"/>
        </w:rPr>
        <w:t>【规章类型】</w:t>
      </w:r>
      <w:r>
        <w:rPr>
          <w:rFonts w:hint="eastAsia" w:ascii="楷体" w:hAnsi="楷体" w:eastAsia="楷体" w:cs="楷体"/>
          <w:sz w:val="28"/>
          <w:szCs w:val="28"/>
        </w:rPr>
        <w:t>规程类</w:t>
      </w:r>
    </w:p>
    <w:p>
      <w:pPr>
        <w:snapToGrid w:val="0"/>
        <w:spacing w:line="480" w:lineRule="exact"/>
        <w:rPr>
          <w:rFonts w:hint="eastAsia" w:ascii="楷体" w:hAnsi="楷体" w:eastAsia="楷体" w:cs="楷体"/>
          <w:sz w:val="28"/>
          <w:szCs w:val="28"/>
        </w:rPr>
      </w:pPr>
      <w:r>
        <w:rPr>
          <w:rFonts w:hint="eastAsia" w:ascii="楷体" w:hAnsi="楷体" w:eastAsia="楷体" w:cs="楷体"/>
          <w:b/>
          <w:bCs/>
          <w:sz w:val="28"/>
          <w:szCs w:val="28"/>
        </w:rPr>
        <w:t>【规章层级】</w:t>
      </w:r>
      <w:r>
        <w:rPr>
          <w:rFonts w:hint="eastAsia" w:ascii="楷体" w:hAnsi="楷体" w:eastAsia="楷体" w:cs="楷体"/>
          <w:sz w:val="28"/>
          <w:szCs w:val="28"/>
        </w:rPr>
        <w:t>操作规章</w:t>
      </w:r>
    </w:p>
    <w:p>
      <w:pPr>
        <w:autoSpaceDE w:val="0"/>
        <w:autoSpaceDN w:val="0"/>
        <w:snapToGrid w:val="0"/>
        <w:spacing w:line="480" w:lineRule="exact"/>
        <w:rPr>
          <w:rFonts w:hint="eastAsia" w:ascii="楷体" w:hAnsi="楷体" w:eastAsia="楷体" w:cs="楷体"/>
          <w:sz w:val="28"/>
          <w:szCs w:val="28"/>
        </w:rPr>
      </w:pPr>
      <w:r>
        <w:rPr>
          <w:rFonts w:hint="eastAsia" w:ascii="楷体" w:hAnsi="楷体" w:eastAsia="楷体" w:cs="楷体"/>
          <w:b/>
          <w:bCs/>
          <w:sz w:val="28"/>
          <w:szCs w:val="28"/>
        </w:rPr>
        <w:t>【汇编定位】</w:t>
      </w:r>
      <w:r>
        <w:rPr>
          <w:rFonts w:hint="eastAsia" w:ascii="楷体" w:hAnsi="楷体" w:eastAsia="楷体" w:cs="楷体"/>
          <w:sz w:val="28"/>
          <w:szCs w:val="28"/>
        </w:rPr>
        <w:t>产品管理-公司业务-质押授信</w:t>
      </w:r>
    </w:p>
    <w:p>
      <w:pPr>
        <w:autoSpaceDE w:val="0"/>
        <w:autoSpaceDN w:val="0"/>
        <w:snapToGrid w:val="0"/>
        <w:spacing w:line="480" w:lineRule="exact"/>
        <w:rPr>
          <w:rFonts w:hint="eastAsia" w:ascii="楷体" w:hAnsi="楷体" w:eastAsia="楷体" w:cs="楷体"/>
          <w:sz w:val="28"/>
          <w:szCs w:val="28"/>
        </w:rPr>
      </w:pPr>
      <w:r>
        <w:rPr>
          <w:rFonts w:hint="eastAsia" w:ascii="楷体" w:hAnsi="楷体" w:eastAsia="楷体" w:cs="楷体"/>
          <w:b/>
          <w:sz w:val="28"/>
          <w:szCs w:val="28"/>
        </w:rPr>
        <w:t>【版 本 号】</w:t>
      </w:r>
      <w:r>
        <w:rPr>
          <w:rFonts w:hint="eastAsia" w:ascii="楷体" w:hAnsi="楷体" w:eastAsia="楷体" w:cs="楷体"/>
          <w:sz w:val="28"/>
          <w:szCs w:val="28"/>
        </w:rPr>
        <w:t>202</w:t>
      </w:r>
      <w:r>
        <w:rPr>
          <w:rFonts w:hint="eastAsia" w:ascii="楷体" w:hAnsi="楷体" w:eastAsia="楷体" w:cs="楷体"/>
          <w:sz w:val="28"/>
          <w:szCs w:val="28"/>
          <w:lang w:val="en-US" w:eastAsia="zh-CN"/>
        </w:rPr>
        <w:t>5</w:t>
      </w:r>
      <w:r>
        <w:rPr>
          <w:rFonts w:hint="eastAsia" w:ascii="楷体" w:hAnsi="楷体" w:eastAsia="楷体" w:cs="楷体"/>
          <w:sz w:val="28"/>
          <w:szCs w:val="28"/>
        </w:rPr>
        <w:t>0</w:t>
      </w:r>
      <w:r>
        <w:rPr>
          <w:rFonts w:hint="eastAsia" w:ascii="楷体" w:hAnsi="楷体" w:eastAsia="楷体" w:cs="楷体"/>
          <w:sz w:val="28"/>
          <w:szCs w:val="28"/>
          <w:lang w:val="en-US" w:eastAsia="zh-CN"/>
        </w:rPr>
        <w:t>5</w:t>
      </w:r>
      <w:r>
        <w:rPr>
          <w:rFonts w:hint="eastAsia" w:ascii="楷体" w:hAnsi="楷体" w:eastAsia="楷体" w:cs="楷体"/>
          <w:sz w:val="28"/>
          <w:szCs w:val="28"/>
        </w:rPr>
        <w:t>0</w:t>
      </w:r>
    </w:p>
    <w:p>
      <w:pPr>
        <w:autoSpaceDE w:val="0"/>
        <w:autoSpaceDN w:val="0"/>
        <w:snapToGrid w:val="0"/>
        <w:spacing w:line="480" w:lineRule="exact"/>
        <w:jc w:val="center"/>
        <w:rPr>
          <w:rFonts w:ascii="宋体"/>
          <w:kern w:val="0"/>
          <w:sz w:val="24"/>
          <w:szCs w:val="24"/>
        </w:rPr>
      </w:pPr>
    </w:p>
    <w:p>
      <w:pPr>
        <w:snapToGrid w:val="0"/>
        <w:spacing w:line="480" w:lineRule="exact"/>
        <w:jc w:val="center"/>
        <w:outlineLvl w:val="0"/>
        <w:rPr>
          <w:rFonts w:hint="eastAsia" w:ascii="黑体" w:hAnsi="黑体" w:eastAsia="黑体"/>
          <w:bCs/>
          <w:sz w:val="28"/>
          <w:szCs w:val="28"/>
        </w:rPr>
      </w:pPr>
      <w:r>
        <w:rPr>
          <w:rFonts w:hint="eastAsia" w:ascii="黑体" w:hAnsi="黑体" w:eastAsia="黑体" w:cs="仿宋_GB2312"/>
          <w:bCs/>
          <w:sz w:val="28"/>
          <w:szCs w:val="28"/>
        </w:rPr>
        <w:t>第一章</w:t>
      </w:r>
      <w:r>
        <w:rPr>
          <w:rFonts w:ascii="黑体" w:hAnsi="黑体" w:eastAsia="黑体" w:cs="仿宋_GB2312"/>
          <w:bCs/>
          <w:sz w:val="28"/>
          <w:szCs w:val="28"/>
        </w:rPr>
        <w:t xml:space="preserve">  </w:t>
      </w:r>
      <w:r>
        <w:rPr>
          <w:rFonts w:hint="eastAsia" w:ascii="黑体" w:hAnsi="黑体" w:eastAsia="黑体" w:cs="仿宋_GB2312"/>
          <w:bCs/>
          <w:sz w:val="28"/>
          <w:szCs w:val="28"/>
        </w:rPr>
        <w:t>总  则</w:t>
      </w:r>
    </w:p>
    <w:p>
      <w:pPr>
        <w:autoSpaceDE w:val="0"/>
        <w:autoSpaceDN w:val="0"/>
        <w:snapToGrid w:val="0"/>
        <w:spacing w:line="480" w:lineRule="exact"/>
        <w:jc w:val="center"/>
        <w:rPr>
          <w:rFonts w:ascii="宋体"/>
          <w:kern w:val="0"/>
          <w:sz w:val="24"/>
          <w:szCs w:val="24"/>
        </w:rPr>
      </w:pP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第一条  目的依据</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为丰富我行对公产品业务品种，满足客户需求，规范业务管理，根据《动产和权利担保统一登记办法》（中国人民银行令〔2021〕第7号）等法律法规和我行相关授信管理制度，制订本规程。</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第二条  适用范围</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本规程适用于公司客户封闭式非保本理财产品质押授信业务的申请、调查和审批、签约、提款申请、放款、贷后管理、额度提前终止等流程。</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第三条  定义</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本规程所称的公司客户封闭式非保本理财产品质押授信，是指授信申请人（以下简称申请人）将其自有的向我行认购的本集团发行的公司客户本外币封闭式非保本理财产品及收益（权）质押给我行，从我行获得授信的业务。申请人无法履行授信项下还款义务时，我行可直接扣划理财产品变现后的款项用于归还贷款本息及相关费用。</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本规程所称的理财产品风险评级，是指由产品准入部门根据《上海银行公司金融代理销售类产品准入工作规程（2023年版）》（</w:t>
      </w:r>
      <w:bookmarkStart w:id="0" w:name="wordNo"/>
      <w:r>
        <w:rPr>
          <w:rFonts w:hint="eastAsia" w:ascii="仿宋" w:hAnsi="仿宋" w:eastAsia="仿宋" w:cs="仿宋"/>
          <w:sz w:val="28"/>
          <w:szCs w:val="28"/>
        </w:rPr>
        <w:t>上银办〔2023〕476号</w:t>
      </w:r>
      <w:bookmarkEnd w:id="0"/>
      <w:r>
        <w:rPr>
          <w:rFonts w:hint="eastAsia" w:ascii="仿宋" w:hAnsi="仿宋" w:eastAsia="仿宋" w:cs="仿宋"/>
          <w:sz w:val="28"/>
          <w:szCs w:val="28"/>
        </w:rPr>
        <w:t>）、《上海银行代理销售理财产品风险评级管理规程</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2025年版</w:t>
      </w:r>
      <w:r>
        <w:rPr>
          <w:rFonts w:hint="eastAsia" w:ascii="仿宋" w:hAnsi="仿宋" w:eastAsia="仿宋" w:cs="仿宋"/>
          <w:sz w:val="28"/>
          <w:szCs w:val="28"/>
          <w:lang w:eastAsia="zh-CN"/>
        </w:rPr>
        <w:t>）</w:t>
      </w:r>
      <w:r>
        <w:rPr>
          <w:rFonts w:hint="eastAsia" w:ascii="仿宋" w:hAnsi="仿宋" w:eastAsia="仿宋" w:cs="仿宋"/>
          <w:sz w:val="28"/>
          <w:szCs w:val="28"/>
        </w:rPr>
        <w:t>》（上银办〔202</w:t>
      </w:r>
      <w:r>
        <w:rPr>
          <w:rFonts w:hint="eastAsia" w:ascii="仿宋" w:hAnsi="仿宋" w:eastAsia="仿宋" w:cs="仿宋"/>
          <w:sz w:val="28"/>
          <w:szCs w:val="28"/>
          <w:lang w:val="en-US" w:eastAsia="zh-CN"/>
        </w:rPr>
        <w:t>5</w:t>
      </w:r>
      <w:r>
        <w:rPr>
          <w:rFonts w:hint="eastAsia" w:ascii="仿宋" w:hAnsi="仿宋" w:eastAsia="仿宋" w:cs="仿宋"/>
          <w:sz w:val="28"/>
          <w:szCs w:val="28"/>
        </w:rPr>
        <w:t>〕</w:t>
      </w:r>
      <w:r>
        <w:rPr>
          <w:rFonts w:hint="eastAsia" w:ascii="仿宋" w:hAnsi="仿宋" w:eastAsia="仿宋" w:cs="仿宋"/>
          <w:sz w:val="28"/>
          <w:szCs w:val="28"/>
          <w:lang w:val="en-US" w:eastAsia="zh-CN"/>
        </w:rPr>
        <w:t>38</w:t>
      </w:r>
      <w:r>
        <w:rPr>
          <w:rFonts w:hint="eastAsia" w:ascii="仿宋" w:hAnsi="仿宋" w:eastAsia="仿宋" w:cs="仿宋"/>
          <w:sz w:val="28"/>
          <w:szCs w:val="28"/>
        </w:rPr>
        <w:t>号）</w:t>
      </w:r>
      <w:r>
        <w:rPr>
          <w:rFonts w:hint="eastAsia" w:ascii="仿宋" w:hAnsi="仿宋" w:eastAsia="仿宋" w:cs="仿宋"/>
          <w:sz w:val="28"/>
          <w:szCs w:val="28"/>
          <w:lang w:val="en-US" w:eastAsia="zh-CN"/>
        </w:rPr>
        <w:t>及其修订文件</w:t>
      </w:r>
      <w:r>
        <w:rPr>
          <w:rFonts w:hint="eastAsia" w:ascii="仿宋" w:hAnsi="仿宋" w:eastAsia="仿宋" w:cs="仿宋"/>
          <w:sz w:val="28"/>
          <w:szCs w:val="28"/>
        </w:rPr>
        <w:t>等对理财产品进行风险评级，风险评级为高风险的理财产品不得用于质押。</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本规程所称的理财产品质押授信额度，是指我行向申请人提供的理财产品质押授信最高限额。</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0"/>
        <w:jc w:val="left"/>
        <w:textAlignment w:val="auto"/>
        <w:rPr>
          <w:rFonts w:hint="eastAsia" w:ascii="仿宋" w:hAnsi="仿宋" w:eastAsia="仿宋" w:cs="仿宋"/>
          <w:color w:val="auto"/>
          <w:kern w:val="2"/>
          <w:sz w:val="28"/>
          <w:szCs w:val="28"/>
          <w:highlight w:val="none"/>
          <w:lang w:val="en-US"/>
        </w:rPr>
      </w:pPr>
      <w:r>
        <w:rPr>
          <w:rFonts w:hint="eastAsia" w:ascii="仿宋" w:hAnsi="仿宋" w:eastAsia="仿宋" w:cs="仿宋"/>
          <w:color w:val="auto"/>
          <w:kern w:val="2"/>
          <w:sz w:val="28"/>
          <w:szCs w:val="28"/>
          <w:highlight w:val="none"/>
          <w:lang w:val="en-US"/>
        </w:rPr>
        <w:t>本</w:t>
      </w:r>
      <w:r>
        <w:rPr>
          <w:rFonts w:hint="eastAsia" w:ascii="仿宋" w:hAnsi="仿宋" w:eastAsia="仿宋" w:cs="仿宋"/>
          <w:color w:val="auto"/>
          <w:kern w:val="2"/>
          <w:sz w:val="28"/>
          <w:szCs w:val="28"/>
          <w:highlight w:val="none"/>
          <w:lang w:val="en-US" w:eastAsia="zh-CN"/>
        </w:rPr>
        <w:t>规程</w:t>
      </w:r>
      <w:r>
        <w:rPr>
          <w:rFonts w:hint="eastAsia" w:ascii="仿宋" w:hAnsi="仿宋" w:eastAsia="仿宋" w:cs="仿宋"/>
          <w:color w:val="auto"/>
          <w:kern w:val="2"/>
          <w:sz w:val="28"/>
          <w:szCs w:val="28"/>
          <w:highlight w:val="none"/>
          <w:lang w:val="en-US"/>
        </w:rPr>
        <w:t>所称经营单位，是指总行营业部、各</w:t>
      </w:r>
      <w:r>
        <w:rPr>
          <w:rFonts w:hint="eastAsia" w:ascii="仿宋" w:hAnsi="仿宋" w:eastAsia="仿宋" w:cs="仿宋"/>
          <w:color w:val="auto"/>
          <w:kern w:val="2"/>
          <w:sz w:val="28"/>
          <w:szCs w:val="28"/>
          <w:highlight w:val="none"/>
          <w:lang w:val="en-US" w:eastAsia="zh-CN"/>
        </w:rPr>
        <w:t>分行</w:t>
      </w:r>
      <w:r>
        <w:rPr>
          <w:rFonts w:hint="eastAsia" w:ascii="仿宋" w:hAnsi="仿宋" w:eastAsia="仿宋" w:cs="仿宋"/>
          <w:color w:val="auto"/>
          <w:kern w:val="2"/>
          <w:sz w:val="28"/>
          <w:szCs w:val="28"/>
          <w:highlight w:val="none"/>
          <w:lang w:val="en-US"/>
        </w:rPr>
        <w:t>。</w:t>
      </w:r>
    </w:p>
    <w:p>
      <w:pPr>
        <w:snapToGrid/>
        <w:spacing w:line="480" w:lineRule="exact"/>
        <w:ind w:firstLine="560" w:firstLineChars="200"/>
        <w:rPr>
          <w:rFonts w:hint="eastAsia" w:ascii="仿宋" w:hAnsi="仿宋" w:eastAsia="仿宋" w:cs="仿宋"/>
          <w:sz w:val="28"/>
          <w:szCs w:val="28"/>
        </w:rPr>
      </w:pPr>
      <w:r>
        <w:rPr>
          <w:rFonts w:hint="eastAsia" w:ascii="仿宋" w:hAnsi="仿宋" w:eastAsia="仿宋" w:cs="仿宋"/>
          <w:color w:val="auto"/>
          <w:kern w:val="2"/>
          <w:sz w:val="28"/>
          <w:szCs w:val="28"/>
          <w:highlight w:val="none"/>
          <w:lang w:val="en-US"/>
        </w:rPr>
        <w:t>本</w:t>
      </w:r>
      <w:r>
        <w:rPr>
          <w:rFonts w:hint="eastAsia" w:ascii="仿宋" w:hAnsi="仿宋" w:eastAsia="仿宋" w:cs="仿宋"/>
          <w:color w:val="auto"/>
          <w:kern w:val="2"/>
          <w:sz w:val="28"/>
          <w:szCs w:val="28"/>
          <w:highlight w:val="none"/>
          <w:lang w:val="en-US" w:eastAsia="zh-CN"/>
        </w:rPr>
        <w:t>规程</w:t>
      </w:r>
      <w:r>
        <w:rPr>
          <w:rFonts w:hint="eastAsia" w:ascii="仿宋" w:hAnsi="仿宋" w:eastAsia="仿宋" w:cs="仿宋"/>
          <w:color w:val="auto"/>
          <w:kern w:val="2"/>
          <w:sz w:val="28"/>
          <w:szCs w:val="28"/>
          <w:highlight w:val="none"/>
          <w:lang w:val="en-US"/>
        </w:rPr>
        <w:t>所称经办</w:t>
      </w:r>
      <w:r>
        <w:rPr>
          <w:rFonts w:hint="eastAsia" w:ascii="仿宋" w:hAnsi="仿宋" w:eastAsia="仿宋" w:cs="仿宋"/>
          <w:color w:val="auto"/>
          <w:kern w:val="2"/>
          <w:sz w:val="28"/>
          <w:szCs w:val="28"/>
          <w:highlight w:val="none"/>
          <w:lang w:val="en-US" w:eastAsia="zh-CN"/>
        </w:rPr>
        <w:t>行</w:t>
      </w:r>
      <w:r>
        <w:rPr>
          <w:rFonts w:hint="eastAsia" w:ascii="仿宋" w:hAnsi="仿宋" w:eastAsia="仿宋" w:cs="仿宋"/>
          <w:color w:val="auto"/>
          <w:kern w:val="2"/>
          <w:sz w:val="28"/>
          <w:szCs w:val="28"/>
          <w:highlight w:val="none"/>
          <w:lang w:val="en-US"/>
        </w:rPr>
        <w:t>，是指各经营单位的直属营销团队及辖属支行。</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第四条  业务管理</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公司客户封闭式非保本理财产品质押授信纳入我行对申请人的统一授信管理。授信业务品种包括流动资金贷款、票据承兑、信用证开证等各类本外币、表内外授信业务。具体业务操作按照本规程及授信额度下我行相关授信业务规定执行。</w:t>
      </w:r>
    </w:p>
    <w:p>
      <w:pPr>
        <w:snapToGrid w:val="0"/>
        <w:spacing w:line="480" w:lineRule="exact"/>
        <w:jc w:val="center"/>
        <w:rPr>
          <w:rFonts w:hint="eastAsia" w:ascii="宋体"/>
          <w:kern w:val="0"/>
          <w:sz w:val="24"/>
          <w:szCs w:val="24"/>
        </w:rPr>
      </w:pPr>
    </w:p>
    <w:p>
      <w:pPr>
        <w:snapToGrid w:val="0"/>
        <w:spacing w:line="480" w:lineRule="exact"/>
        <w:jc w:val="center"/>
        <w:outlineLvl w:val="0"/>
        <w:rPr>
          <w:rFonts w:hint="eastAsia" w:ascii="黑体" w:hAnsi="Garamond" w:eastAsia="黑体"/>
          <w:bCs/>
          <w:sz w:val="28"/>
          <w:szCs w:val="28"/>
        </w:rPr>
      </w:pPr>
      <w:r>
        <w:rPr>
          <w:rFonts w:hint="eastAsia" w:ascii="黑体" w:hAnsi="Garamond" w:eastAsia="黑体" w:cs="仿宋_GB2312"/>
          <w:bCs/>
          <w:sz w:val="28"/>
          <w:szCs w:val="28"/>
        </w:rPr>
        <w:t>第二章  业务要求</w:t>
      </w:r>
    </w:p>
    <w:p>
      <w:pPr>
        <w:autoSpaceDE w:val="0"/>
        <w:autoSpaceDN w:val="0"/>
        <w:snapToGrid w:val="0"/>
        <w:spacing w:line="480" w:lineRule="exact"/>
        <w:jc w:val="center"/>
        <w:rPr>
          <w:rFonts w:ascii="宋体"/>
          <w:kern w:val="0"/>
          <w:sz w:val="24"/>
          <w:szCs w:val="24"/>
        </w:rPr>
      </w:pPr>
    </w:p>
    <w:p>
      <w:pPr>
        <w:snapToGrid w:val="0"/>
        <w:spacing w:line="480" w:lineRule="exact"/>
        <w:ind w:firstLine="562" w:firstLineChars="200"/>
        <w:outlineLvl w:val="0"/>
        <w:rPr>
          <w:rFonts w:hint="eastAsia" w:ascii="仿宋" w:hAnsi="仿宋" w:eastAsia="仿宋" w:cs="仿宋"/>
          <w:kern w:val="0"/>
          <w:sz w:val="28"/>
          <w:szCs w:val="28"/>
        </w:rPr>
      </w:pPr>
      <w:r>
        <w:rPr>
          <w:rFonts w:hint="eastAsia" w:ascii="仿宋" w:hAnsi="仿宋" w:eastAsia="仿宋" w:cs="仿宋"/>
          <w:b/>
          <w:bCs/>
          <w:sz w:val="28"/>
          <w:szCs w:val="28"/>
        </w:rPr>
        <w:t>第五条  授信申请人</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申请人应为具备以下条件的企事业法人、其他经济组织：</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（一）符合我行相关授信业务的准入条件；</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（二）总行公司业务部认定的总行级重点目标客户或我行信用评级为BBB级（含）以上的客户；</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（三）各项资产权属清晰，周转正常，无不良信用记录，无重大诉讼或纠纷记录；</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（四）客户公司章程中没有对理财产品办理质押的限制性条款。</w:t>
      </w:r>
    </w:p>
    <w:p>
      <w:pPr>
        <w:snapToGrid w:val="0"/>
        <w:spacing w:line="480" w:lineRule="exact"/>
        <w:ind w:firstLine="562" w:firstLineChars="200"/>
        <w:outlineLvl w:val="0"/>
        <w:rPr>
          <w:rFonts w:hint="eastAsia" w:ascii="仿宋" w:hAnsi="仿宋" w:eastAsia="仿宋" w:cs="仿宋"/>
          <w:kern w:val="0"/>
          <w:sz w:val="28"/>
          <w:szCs w:val="28"/>
        </w:rPr>
      </w:pPr>
      <w:r>
        <w:rPr>
          <w:rFonts w:hint="eastAsia" w:ascii="仿宋" w:hAnsi="仿宋" w:eastAsia="仿宋" w:cs="仿宋"/>
          <w:b/>
          <w:bCs/>
          <w:sz w:val="28"/>
          <w:szCs w:val="28"/>
        </w:rPr>
        <w:t>第六条  授信条件</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购买理财产品的资金为申请人合法所得，不可为我行/他行信贷资金</w:t>
      </w:r>
      <w:r>
        <w:rPr>
          <w:rFonts w:hint="eastAsia" w:ascii="仿宋" w:hAnsi="仿宋" w:eastAsia="仿宋" w:cs="仿宋"/>
          <w:sz w:val="28"/>
          <w:szCs w:val="28"/>
          <w:lang w:eastAsia="zh-CN"/>
        </w:rPr>
        <w:t>，</w:t>
      </w:r>
      <w:r>
        <w:rPr>
          <w:rFonts w:hint="eastAsia" w:ascii="仿宋" w:hAnsi="仿宋" w:eastAsia="仿宋" w:cs="仿宋"/>
          <w:sz w:val="28"/>
          <w:szCs w:val="28"/>
        </w:rPr>
        <w:t>理财产品属于申请人所有，权属清晰，不存在所有权争议和民事纠纷，未办理过任何形式的担保。理财产品币种为外币时，申请人外汇来源应合法合规。</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用于出质的理财产品为我行代销的公司客户本外币封闭式非保本理财产品，且理财产品认购协议及产品说明书中均没有不可质押的限制条款。</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由产品准入部门根据《上海银行代理销售理财产品风险评级管理规程</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2025年版</w:t>
      </w:r>
      <w:r>
        <w:rPr>
          <w:rFonts w:hint="eastAsia" w:ascii="仿宋" w:hAnsi="仿宋" w:eastAsia="仿宋" w:cs="仿宋"/>
          <w:sz w:val="28"/>
          <w:szCs w:val="28"/>
          <w:lang w:eastAsia="zh-CN"/>
        </w:rPr>
        <w:t>）</w:t>
      </w:r>
      <w:r>
        <w:rPr>
          <w:rFonts w:hint="eastAsia" w:ascii="仿宋" w:hAnsi="仿宋" w:eastAsia="仿宋" w:cs="仿宋"/>
          <w:sz w:val="28"/>
          <w:szCs w:val="28"/>
        </w:rPr>
        <w:t>》（上银办〔202</w:t>
      </w:r>
      <w:r>
        <w:rPr>
          <w:rFonts w:hint="eastAsia" w:ascii="仿宋" w:hAnsi="仿宋" w:eastAsia="仿宋" w:cs="仿宋"/>
          <w:sz w:val="28"/>
          <w:szCs w:val="28"/>
          <w:lang w:val="en-US" w:eastAsia="zh-CN"/>
        </w:rPr>
        <w:t>5</w:t>
      </w:r>
      <w:r>
        <w:rPr>
          <w:rFonts w:hint="eastAsia" w:ascii="仿宋" w:hAnsi="仿宋" w:eastAsia="仿宋" w:cs="仿宋"/>
          <w:sz w:val="28"/>
          <w:szCs w:val="28"/>
        </w:rPr>
        <w:t>〕</w:t>
      </w:r>
      <w:r>
        <w:rPr>
          <w:rFonts w:hint="eastAsia" w:ascii="仿宋" w:hAnsi="仿宋" w:eastAsia="仿宋" w:cs="仿宋"/>
          <w:sz w:val="28"/>
          <w:szCs w:val="28"/>
          <w:lang w:val="en-US" w:eastAsia="zh-CN"/>
        </w:rPr>
        <w:t>38</w:t>
      </w:r>
      <w:r>
        <w:rPr>
          <w:rFonts w:hint="eastAsia" w:ascii="仿宋" w:hAnsi="仿宋" w:eastAsia="仿宋" w:cs="仿宋"/>
          <w:sz w:val="28"/>
          <w:szCs w:val="28"/>
        </w:rPr>
        <w:t>号）</w:t>
      </w:r>
      <w:r>
        <w:rPr>
          <w:rFonts w:hint="eastAsia" w:ascii="仿宋" w:hAnsi="仿宋" w:eastAsia="仿宋" w:cs="仿宋"/>
          <w:sz w:val="28"/>
          <w:szCs w:val="28"/>
          <w:lang w:val="en-US" w:eastAsia="zh-CN"/>
        </w:rPr>
        <w:t>及其修订文件</w:t>
      </w:r>
      <w:r>
        <w:rPr>
          <w:rFonts w:hint="eastAsia" w:ascii="仿宋" w:hAnsi="仿宋" w:eastAsia="仿宋" w:cs="仿宋"/>
          <w:sz w:val="28"/>
          <w:szCs w:val="28"/>
        </w:rPr>
        <w:t>对理财产品进行风险评级，风险评级为高风险的理财产品不得用于质押。</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若理财产品币种为外币，授信产品币种为人民币时，出质的外汇资金应为按照我国的外汇管理相关规定可以结汇的外汇资金。</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若以理财产品到期资金结/购汇用于还贷，结/购汇手续应符合国家外汇管理局的有关规定。</w:t>
      </w:r>
    </w:p>
    <w:p>
      <w:pPr>
        <w:snapToGrid w:val="0"/>
        <w:spacing w:line="480" w:lineRule="exact"/>
        <w:ind w:firstLine="562" w:firstLineChars="200"/>
        <w:outlineLvl w:val="0"/>
        <w:rPr>
          <w:rFonts w:hint="eastAsia" w:ascii="仿宋" w:hAnsi="仿宋" w:eastAsia="仿宋" w:cs="仿宋"/>
          <w:kern w:val="0"/>
          <w:sz w:val="28"/>
          <w:szCs w:val="28"/>
        </w:rPr>
      </w:pPr>
      <w:r>
        <w:rPr>
          <w:rFonts w:hint="eastAsia" w:ascii="仿宋" w:hAnsi="仿宋" w:eastAsia="仿宋" w:cs="仿宋"/>
          <w:b/>
          <w:bCs/>
          <w:sz w:val="28"/>
          <w:szCs w:val="28"/>
        </w:rPr>
        <w:t>第七条  授信用途</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理财产品质押授信可用于流动资金贷款、票据承兑、贸易融资、开立信用证等各类本外币表内外业务，以满足客户正常生产经营活动中的短期周转需要</w:t>
      </w:r>
      <w:r>
        <w:rPr>
          <w:rFonts w:hint="eastAsia" w:ascii="仿宋" w:hAnsi="仿宋" w:eastAsia="仿宋" w:cs="仿宋"/>
          <w:sz w:val="28"/>
          <w:szCs w:val="28"/>
          <w:lang w:val="en-US" w:eastAsia="zh-CN"/>
        </w:rPr>
        <w:t>；</w:t>
      </w:r>
      <w:r>
        <w:rPr>
          <w:rFonts w:hint="eastAsia" w:ascii="仿宋" w:hAnsi="仿宋" w:eastAsia="仿宋" w:cs="仿宋"/>
          <w:sz w:val="28"/>
          <w:szCs w:val="28"/>
        </w:rPr>
        <w:t>不得用于国家禁止生产、经营的领域和用途；</w:t>
      </w:r>
      <w:r>
        <w:rPr>
          <w:rFonts w:hint="eastAsia" w:ascii="仿宋" w:hAnsi="仿宋" w:eastAsia="仿宋" w:cs="仿宋"/>
          <w:sz w:val="28"/>
          <w:szCs w:val="28"/>
          <w:lang w:eastAsia="zh-CN"/>
        </w:rPr>
        <w:t>不得流向保证金存款账户</w:t>
      </w:r>
      <w:r>
        <w:rPr>
          <w:rFonts w:hint="eastAsia" w:ascii="仿宋" w:hAnsi="仿宋" w:eastAsia="仿宋" w:cs="仿宋"/>
          <w:sz w:val="28"/>
          <w:szCs w:val="28"/>
        </w:rPr>
        <w:t>。</w:t>
      </w:r>
      <w:r>
        <w:rPr>
          <w:rFonts w:hint="eastAsia" w:ascii="仿宋" w:hAnsi="仿宋" w:eastAsia="仿宋" w:cs="仿宋"/>
          <w:i w:val="0"/>
          <w:iCs w:val="0"/>
          <w:caps w:val="0"/>
          <w:color w:val="auto"/>
          <w:spacing w:val="0"/>
          <w:sz w:val="28"/>
          <w:szCs w:val="28"/>
          <w:shd w:val="clear" w:fill="auto"/>
        </w:rPr>
        <w:t>具体按我行相关产品制度规定执行。</w:t>
      </w:r>
    </w:p>
    <w:p>
      <w:pPr>
        <w:snapToGrid w:val="0"/>
        <w:spacing w:line="480" w:lineRule="exact"/>
        <w:ind w:firstLine="562" w:firstLineChars="200"/>
        <w:outlineLvl w:val="0"/>
        <w:rPr>
          <w:rFonts w:hint="eastAsia" w:ascii="仿宋" w:hAnsi="仿宋" w:eastAsia="仿宋" w:cs="仿宋"/>
          <w:kern w:val="0"/>
          <w:sz w:val="28"/>
          <w:szCs w:val="28"/>
        </w:rPr>
      </w:pPr>
      <w:r>
        <w:rPr>
          <w:rFonts w:hint="eastAsia" w:ascii="仿宋" w:hAnsi="仿宋" w:eastAsia="仿宋" w:cs="仿宋"/>
          <w:b/>
          <w:bCs/>
          <w:sz w:val="28"/>
          <w:szCs w:val="28"/>
        </w:rPr>
        <w:t>第八条  授信额度与期限</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授信额度为单笔额度或循环额度</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授信额度期限原则上不超过1年且不允许展期，且所质押的理财产品到期日不得晚于授信额度项下单笔授信业务到期后半年</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额度内单笔放款/承兑到期日（以下简称授信业务到期日）根据具体授信业务品种的协议/合同约定执行。</w:t>
      </w:r>
    </w:p>
    <w:p>
      <w:pPr>
        <w:snapToGrid w:val="0"/>
        <w:spacing w:line="480" w:lineRule="exact"/>
        <w:ind w:firstLine="562" w:firstLineChars="200"/>
        <w:outlineLvl w:val="0"/>
        <w:rPr>
          <w:rFonts w:hint="eastAsia" w:ascii="仿宋" w:hAnsi="仿宋" w:eastAsia="仿宋" w:cs="仿宋"/>
          <w:kern w:val="0"/>
          <w:sz w:val="28"/>
          <w:szCs w:val="28"/>
        </w:rPr>
      </w:pPr>
      <w:r>
        <w:rPr>
          <w:rFonts w:hint="eastAsia" w:ascii="仿宋" w:hAnsi="仿宋" w:eastAsia="仿宋" w:cs="仿宋"/>
          <w:b/>
          <w:bCs/>
          <w:sz w:val="28"/>
          <w:szCs w:val="28"/>
        </w:rPr>
        <w:t>第九条  理财产品质押率</w:t>
      </w:r>
    </w:p>
    <w:p>
      <w:pPr>
        <w:numPr>
          <w:ilvl w:val="0"/>
          <w:numId w:val="0"/>
        </w:numPr>
        <w:spacing w:line="480" w:lineRule="exact"/>
        <w:ind w:firstLine="560" w:firstLineChars="200"/>
        <w:rPr>
          <w:rFonts w:hint="eastAsia" w:ascii="仿宋" w:hAnsi="仿宋" w:eastAsia="仿宋" w:cs="仿宋"/>
          <w:i w:val="0"/>
          <w:iCs w:val="0"/>
          <w:caps w:val="0"/>
          <w:color w:val="auto"/>
          <w:spacing w:val="0"/>
          <w:sz w:val="28"/>
          <w:szCs w:val="28"/>
          <w:shd w:val="clear" w:fill="FFFFFF"/>
        </w:rPr>
      </w:pPr>
      <w:r>
        <w:rPr>
          <w:rFonts w:ascii="仿宋" w:hAnsi="仿宋" w:eastAsia="仿宋" w:cs="仿宋"/>
          <w:i w:val="0"/>
          <w:iCs w:val="0"/>
          <w:caps w:val="0"/>
          <w:color w:val="auto"/>
          <w:spacing w:val="0"/>
          <w:sz w:val="28"/>
          <w:szCs w:val="28"/>
          <w:shd w:val="clear" w:fill="FFFFFF"/>
        </w:rPr>
        <w:t>公司客户封闭式非保本理财产品</w:t>
      </w:r>
      <w:r>
        <w:rPr>
          <w:rFonts w:hint="eastAsia" w:ascii="仿宋" w:hAnsi="仿宋" w:eastAsia="仿宋" w:cs="仿宋"/>
          <w:i w:val="0"/>
          <w:iCs w:val="0"/>
          <w:caps w:val="0"/>
          <w:color w:val="auto"/>
          <w:spacing w:val="0"/>
          <w:sz w:val="28"/>
          <w:szCs w:val="28"/>
          <w:shd w:val="clear" w:fill="FFFFFF"/>
        </w:rPr>
        <w:t>质押率的计算规则为授信业务本息及相关费用（分子）与质押物本金（分母）的比例。</w:t>
      </w:r>
    </w:p>
    <w:p>
      <w:pPr>
        <w:numPr>
          <w:ilvl w:val="0"/>
          <w:numId w:val="0"/>
        </w:num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授信币种和理财产品币种一致时，</w:t>
      </w:r>
      <w:r>
        <w:rPr>
          <w:rFonts w:hint="eastAsia" w:ascii="仿宋" w:hAnsi="仿宋" w:eastAsia="仿宋" w:cs="仿宋"/>
          <w:sz w:val="28"/>
          <w:szCs w:val="28"/>
          <w:lang w:eastAsia="zh-CN"/>
        </w:rPr>
        <w:t>极低风险、</w:t>
      </w:r>
      <w:r>
        <w:rPr>
          <w:rFonts w:hint="eastAsia" w:ascii="仿宋" w:hAnsi="仿宋" w:eastAsia="仿宋" w:cs="仿宋"/>
          <w:sz w:val="28"/>
          <w:szCs w:val="28"/>
        </w:rPr>
        <w:t>低风险非保本理财产品质押率</w:t>
      </w:r>
      <w:r>
        <w:rPr>
          <w:rFonts w:hint="eastAsia" w:ascii="仿宋" w:hAnsi="仿宋" w:eastAsia="仿宋" w:cs="仿宋"/>
          <w:i w:val="0"/>
          <w:iCs w:val="0"/>
          <w:caps w:val="0"/>
          <w:color w:val="auto"/>
          <w:spacing w:val="0"/>
          <w:sz w:val="28"/>
          <w:szCs w:val="28"/>
        </w:rPr>
        <w:t>最高不超过100%</w:t>
      </w:r>
      <w:r>
        <w:rPr>
          <w:rFonts w:hint="eastAsia" w:ascii="仿宋" w:hAnsi="仿宋" w:eastAsia="仿宋" w:cs="仿宋"/>
          <w:sz w:val="28"/>
          <w:szCs w:val="28"/>
        </w:rPr>
        <w:t>；</w:t>
      </w:r>
      <w:r>
        <w:rPr>
          <w:rFonts w:hint="eastAsia" w:ascii="仿宋" w:hAnsi="仿宋" w:eastAsia="仿宋" w:cs="仿宋"/>
          <w:sz w:val="28"/>
          <w:szCs w:val="28"/>
          <w:lang w:eastAsia="zh-CN"/>
        </w:rPr>
        <w:t>中等风险、</w:t>
      </w:r>
      <w:r>
        <w:rPr>
          <w:rFonts w:hint="eastAsia" w:ascii="仿宋" w:hAnsi="仿宋" w:eastAsia="仿宋" w:cs="仿宋"/>
          <w:sz w:val="28"/>
          <w:szCs w:val="28"/>
        </w:rPr>
        <w:t>较高风险非保本理财产品质押率按照</w:t>
      </w:r>
      <w:r>
        <w:rPr>
          <w:rFonts w:hint="eastAsia" w:ascii="仿宋" w:hAnsi="仿宋" w:eastAsia="仿宋" w:cs="仿宋"/>
          <w:sz w:val="28"/>
          <w:szCs w:val="28"/>
          <w:lang w:eastAsia="zh-CN"/>
        </w:rPr>
        <w:t>《上海银行授信业务押品管理办法（2024年版）》（</w:t>
      </w:r>
      <w:r>
        <w:rPr>
          <w:rFonts w:hint="eastAsia" w:ascii="仿宋" w:hAnsi="仿宋" w:eastAsia="仿宋" w:cs="仿宋"/>
          <w:i w:val="0"/>
          <w:iCs w:val="0"/>
          <w:caps w:val="0"/>
          <w:color w:val="auto"/>
          <w:spacing w:val="0"/>
          <w:sz w:val="28"/>
          <w:szCs w:val="28"/>
          <w:shd w:val="clear" w:fill="auto"/>
        </w:rPr>
        <w:t>上银发〔2024〕121号</w:t>
      </w:r>
      <w:r>
        <w:rPr>
          <w:rFonts w:hint="eastAsia" w:ascii="仿宋" w:hAnsi="仿宋" w:eastAsia="仿宋" w:cs="仿宋"/>
          <w:sz w:val="28"/>
          <w:szCs w:val="28"/>
          <w:lang w:eastAsia="zh-CN"/>
        </w:rPr>
        <w:t>）及其修订文件的相关</w:t>
      </w:r>
      <w:r>
        <w:rPr>
          <w:rFonts w:hint="eastAsia" w:ascii="仿宋" w:hAnsi="仿宋" w:eastAsia="仿宋" w:cs="仿宋"/>
          <w:sz w:val="28"/>
          <w:szCs w:val="28"/>
        </w:rPr>
        <w:t>要求执行。</w:t>
      </w:r>
    </w:p>
    <w:p>
      <w:pPr>
        <w:numPr>
          <w:ilvl w:val="0"/>
          <w:numId w:val="0"/>
        </w:numPr>
        <w:spacing w:line="480" w:lineRule="exact"/>
        <w:ind w:firstLine="560" w:firstLineChars="200"/>
        <w:rPr>
          <w:rFonts w:hint="eastAsia" w:ascii="仿宋" w:hAnsi="仿宋" w:eastAsia="仿宋" w:cs="仿宋"/>
          <w:spacing w:val="-6"/>
          <w:sz w:val="28"/>
          <w:szCs w:val="28"/>
        </w:rPr>
      </w:pPr>
      <w:r>
        <w:rPr>
          <w:rFonts w:hint="eastAsia" w:ascii="仿宋" w:hAnsi="仿宋" w:eastAsia="仿宋" w:cs="仿宋"/>
          <w:sz w:val="28"/>
          <w:szCs w:val="28"/>
        </w:rPr>
        <w:t>授信币种和理财产品币种不一致时，申请人通过</w:t>
      </w:r>
      <w:r>
        <w:rPr>
          <w:rFonts w:hint="eastAsia" w:ascii="仿宋" w:hAnsi="仿宋" w:eastAsia="仿宋" w:cs="仿宋"/>
          <w:sz w:val="28"/>
          <w:szCs w:val="28"/>
          <w:lang w:eastAsia="zh-CN"/>
        </w:rPr>
        <w:t>在我行</w:t>
      </w:r>
      <w:r>
        <w:rPr>
          <w:rFonts w:hint="eastAsia" w:ascii="仿宋" w:hAnsi="仿宋" w:eastAsia="仿宋" w:cs="仿宋"/>
          <w:sz w:val="28"/>
          <w:szCs w:val="28"/>
        </w:rPr>
        <w:t>叙做远期结售汇等方式完全规避汇率风险的，原则上理财产品质押率可参照第九条第一款，理财产品本金应按照远期锁定的汇率折算成授信业务币种以计算质押率；申请人未在我行办理远期汇率锁定的，理财产品质押率按照</w:t>
      </w:r>
      <w:r>
        <w:rPr>
          <w:rFonts w:hint="eastAsia" w:ascii="仿宋" w:hAnsi="仿宋" w:eastAsia="仿宋" w:cs="仿宋"/>
          <w:sz w:val="28"/>
          <w:szCs w:val="28"/>
          <w:lang w:eastAsia="zh-CN"/>
        </w:rPr>
        <w:t>《上海银行授信业务押品管理办法（2024年版）》（</w:t>
      </w:r>
      <w:r>
        <w:rPr>
          <w:rFonts w:hint="eastAsia" w:ascii="仿宋" w:hAnsi="仿宋" w:eastAsia="仿宋" w:cs="仿宋"/>
          <w:i w:val="0"/>
          <w:iCs w:val="0"/>
          <w:caps w:val="0"/>
          <w:color w:val="auto"/>
          <w:spacing w:val="0"/>
          <w:sz w:val="28"/>
          <w:szCs w:val="28"/>
          <w:shd w:val="clear" w:fill="auto"/>
        </w:rPr>
        <w:t>上银发〔2024〕121号</w:t>
      </w:r>
      <w:r>
        <w:rPr>
          <w:rFonts w:hint="eastAsia" w:ascii="仿宋" w:hAnsi="仿宋" w:eastAsia="仿宋" w:cs="仿宋"/>
          <w:sz w:val="28"/>
          <w:szCs w:val="28"/>
          <w:lang w:eastAsia="zh-CN"/>
        </w:rPr>
        <w:t>）及其修订文件的相关</w:t>
      </w:r>
      <w:r>
        <w:rPr>
          <w:rFonts w:hint="eastAsia" w:ascii="仿宋" w:hAnsi="仿宋" w:eastAsia="仿宋" w:cs="仿宋"/>
          <w:sz w:val="28"/>
          <w:szCs w:val="28"/>
        </w:rPr>
        <w:t>要求执行。</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第十条  账户设置</w:t>
      </w:r>
    </w:p>
    <w:p>
      <w:pPr>
        <w:snapToGrid w:val="0"/>
        <w:spacing w:line="480" w:lineRule="exact"/>
        <w:ind w:firstLine="560" w:firstLineChars="200"/>
        <w:outlineLvl w:val="0"/>
        <w:rPr>
          <w:rFonts w:hint="eastAsia" w:ascii="仿宋" w:hAnsi="仿宋" w:eastAsia="仿宋" w:cs="仿宋"/>
          <w:sz w:val="28"/>
          <w:szCs w:val="28"/>
        </w:rPr>
      </w:pPr>
      <w:r>
        <w:rPr>
          <w:rFonts w:hint="eastAsia" w:ascii="仿宋" w:hAnsi="仿宋" w:eastAsia="仿宋" w:cs="仿宋"/>
          <w:sz w:val="28"/>
          <w:szCs w:val="28"/>
        </w:rPr>
        <w:t>账户设置应</w:t>
      </w:r>
      <w:r>
        <w:rPr>
          <w:rFonts w:hint="eastAsia" w:ascii="仿宋" w:hAnsi="仿宋" w:eastAsia="仿宋" w:cs="仿宋"/>
          <w:sz w:val="28"/>
          <w:szCs w:val="28"/>
          <w:lang w:eastAsia="zh-CN"/>
        </w:rPr>
        <w:t>依据</w:t>
      </w:r>
      <w:r>
        <w:rPr>
          <w:rFonts w:hint="eastAsia" w:ascii="仿宋" w:hAnsi="仿宋" w:eastAsia="仿宋" w:cs="仿宋"/>
          <w:sz w:val="28"/>
          <w:szCs w:val="28"/>
        </w:rPr>
        <w:t>《上海银行授信业务保证金管理办法》</w:t>
      </w:r>
      <w:r>
        <w:rPr>
          <w:rFonts w:hint="eastAsia" w:ascii="仿宋" w:hAnsi="仿宋" w:eastAsia="仿宋" w:cs="仿宋"/>
          <w:sz w:val="28"/>
          <w:szCs w:val="28"/>
          <w:highlight w:val="none"/>
        </w:rPr>
        <w:t>（上银办〔20</w:t>
      </w:r>
      <w:r>
        <w:rPr>
          <w:rFonts w:hint="eastAsia" w:ascii="仿宋" w:hAnsi="仿宋" w:eastAsia="仿宋" w:cs="仿宋"/>
          <w:sz w:val="28"/>
          <w:szCs w:val="28"/>
          <w:highlight w:val="none"/>
          <w:lang w:val="en-US" w:eastAsia="zh-CN"/>
        </w:rPr>
        <w:t>25</w:t>
      </w:r>
      <w:r>
        <w:rPr>
          <w:rFonts w:hint="eastAsia" w:ascii="仿宋" w:hAnsi="仿宋" w:eastAsia="仿宋" w:cs="仿宋"/>
          <w:sz w:val="28"/>
          <w:szCs w:val="28"/>
          <w:highlight w:val="none"/>
        </w:rPr>
        <w:t>〕</w:t>
      </w:r>
      <w:r>
        <w:rPr>
          <w:rFonts w:hint="eastAsia" w:ascii="仿宋" w:hAnsi="仿宋" w:eastAsia="仿宋" w:cs="仿宋"/>
          <w:sz w:val="28"/>
          <w:szCs w:val="28"/>
          <w:highlight w:val="none"/>
          <w:lang w:val="en-US" w:eastAsia="zh-CN"/>
        </w:rPr>
        <w:t>8</w:t>
      </w:r>
      <w:r>
        <w:rPr>
          <w:rFonts w:hint="eastAsia" w:ascii="仿宋" w:hAnsi="仿宋" w:eastAsia="仿宋" w:cs="仿宋"/>
          <w:sz w:val="28"/>
          <w:szCs w:val="28"/>
          <w:highlight w:val="none"/>
        </w:rPr>
        <w:t>号）</w:t>
      </w:r>
      <w:r>
        <w:rPr>
          <w:rFonts w:hint="eastAsia" w:ascii="仿宋" w:hAnsi="仿宋" w:eastAsia="仿宋" w:cs="仿宋"/>
          <w:sz w:val="28"/>
          <w:szCs w:val="28"/>
          <w:lang w:eastAsia="zh-CN"/>
        </w:rPr>
        <w:t>及其修订文件，</w:t>
      </w:r>
      <w:r>
        <w:rPr>
          <w:rFonts w:hint="eastAsia" w:ascii="仿宋" w:hAnsi="仿宋" w:eastAsia="仿宋" w:cs="仿宋"/>
          <w:sz w:val="28"/>
          <w:szCs w:val="28"/>
        </w:rPr>
        <w:t>遵循以下管理规范：</w:t>
      </w:r>
    </w:p>
    <w:p>
      <w:pPr>
        <w:snapToGrid w:val="0"/>
        <w:spacing w:line="480" w:lineRule="exact"/>
        <w:ind w:firstLine="560" w:firstLineChars="200"/>
        <w:rPr>
          <w:rFonts w:hint="eastAsia" w:ascii="仿宋" w:hAnsi="仿宋" w:eastAsia="仿宋" w:cs="仿宋"/>
          <w:spacing w:val="-6"/>
          <w:sz w:val="28"/>
          <w:szCs w:val="28"/>
        </w:rPr>
      </w:pPr>
      <w:r>
        <w:rPr>
          <w:rFonts w:hint="eastAsia" w:ascii="仿宋" w:hAnsi="仿宋" w:eastAsia="仿宋" w:cs="仿宋"/>
          <w:sz w:val="28"/>
          <w:szCs w:val="28"/>
        </w:rPr>
        <w:t>（一）申请人在授信业务经办行应开立结算账户和保证金账户，结算</w:t>
      </w:r>
      <w:r>
        <w:rPr>
          <w:rFonts w:hint="eastAsia" w:ascii="仿宋" w:hAnsi="仿宋" w:eastAsia="仿宋" w:cs="仿宋"/>
          <w:spacing w:val="-6"/>
          <w:sz w:val="28"/>
          <w:szCs w:val="28"/>
        </w:rPr>
        <w:t>账户作为拟出质理财产品的认购账户，保证金账户作为拟出质理财产品到期后或提前终止时资金返还账户</w:t>
      </w:r>
      <w:r>
        <w:rPr>
          <w:rFonts w:hint="eastAsia" w:ascii="仿宋" w:hAnsi="仿宋" w:eastAsia="仿宋" w:cs="仿宋"/>
          <w:spacing w:val="-6"/>
          <w:sz w:val="28"/>
          <w:szCs w:val="28"/>
          <w:lang w:eastAsia="zh-CN"/>
        </w:rPr>
        <w:t>，</w:t>
      </w:r>
      <w:r>
        <w:rPr>
          <w:rFonts w:hint="eastAsia" w:ascii="仿宋" w:hAnsi="仿宋" w:eastAsia="仿宋" w:cs="仿宋"/>
          <w:color w:val="auto"/>
          <w:kern w:val="0"/>
          <w:sz w:val="28"/>
          <w:szCs w:val="28"/>
          <w:highlight w:val="none"/>
          <w:lang w:val="en-GB"/>
        </w:rPr>
        <w:t>保证金账户类型</w:t>
      </w:r>
      <w:r>
        <w:rPr>
          <w:rFonts w:hint="eastAsia" w:ascii="仿宋" w:hAnsi="仿宋" w:eastAsia="仿宋" w:cs="仿宋"/>
          <w:color w:val="auto"/>
          <w:kern w:val="0"/>
          <w:sz w:val="28"/>
          <w:szCs w:val="28"/>
          <w:highlight w:val="none"/>
          <w:lang w:val="en-US" w:eastAsia="zh-CN"/>
        </w:rPr>
        <w:t>应与授信业务产品对应，</w:t>
      </w:r>
      <w:r>
        <w:rPr>
          <w:rFonts w:hint="eastAsia" w:ascii="仿宋" w:hAnsi="仿宋" w:eastAsia="仿宋" w:cs="仿宋"/>
          <w:sz w:val="28"/>
          <w:szCs w:val="28"/>
          <w:lang w:eastAsia="zh-CN"/>
        </w:rPr>
        <w:t>账户户名以“保证金账户”结尾，</w:t>
      </w:r>
      <w:r>
        <w:rPr>
          <w:rFonts w:hint="eastAsia" w:ascii="仿宋" w:hAnsi="仿宋" w:eastAsia="仿宋" w:cs="仿宋"/>
          <w:i w:val="0"/>
          <w:iCs w:val="0"/>
          <w:caps w:val="0"/>
          <w:spacing w:val="0"/>
          <w:sz w:val="28"/>
          <w:szCs w:val="28"/>
          <w:shd w:val="clear"/>
        </w:rPr>
        <w:t>资金转入保证金账户后，应对资金管控并与业务形成对应</w:t>
      </w:r>
      <w:r>
        <w:rPr>
          <w:rFonts w:hint="eastAsia" w:ascii="仿宋" w:hAnsi="仿宋" w:eastAsia="仿宋" w:cs="仿宋"/>
          <w:spacing w:val="-6"/>
          <w:sz w:val="28"/>
          <w:szCs w:val="28"/>
        </w:rPr>
        <w:t>。授信期间结算账户和保证金账户均不得撤销，申请人不得将保证金账户中的资金用于清偿我行之外的其他债权人的债权。</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（二）保证金账户由我行进行监管，相关质押合同中</w:t>
      </w:r>
      <w:r>
        <w:rPr>
          <w:rFonts w:hint="eastAsia" w:ascii="仿宋" w:hAnsi="仿宋" w:eastAsia="仿宋" w:cs="仿宋"/>
          <w:sz w:val="28"/>
          <w:szCs w:val="28"/>
          <w:lang w:eastAsia="zh-CN"/>
        </w:rPr>
        <w:t>应</w:t>
      </w:r>
      <w:r>
        <w:rPr>
          <w:rFonts w:hint="eastAsia" w:ascii="仿宋" w:hAnsi="仿宋" w:eastAsia="仿宋" w:cs="仿宋"/>
          <w:sz w:val="28"/>
          <w:szCs w:val="28"/>
        </w:rPr>
        <w:t>约定我行对保证金账户有以下权利：</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1.理财产品到期日（或质押额度提前终止日），我行将对应的理财产品本金及收益划入保证金账户；</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2.申请人授权我行有权直接从保证金账户扣收授信项下的本金、利息费用；</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3.我行对保证金账户的资金收入和支出情况进行了解和监督，必要时对进账和出账款项进行逐笔核对。</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第十一条  利率与费率</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理财产品质押授信项下具体授信品种的利率、费率参照具体授信业务品种规定执行</w:t>
      </w:r>
      <w:r>
        <w:rPr>
          <w:rFonts w:hint="eastAsia" w:ascii="仿宋" w:hAnsi="仿宋" w:eastAsia="仿宋" w:cs="仿宋"/>
          <w:sz w:val="28"/>
          <w:szCs w:val="28"/>
          <w:lang w:eastAsia="zh-CN"/>
        </w:rPr>
        <w:t>，应</w:t>
      </w:r>
      <w:r>
        <w:rPr>
          <w:rFonts w:hint="eastAsia" w:ascii="仿宋" w:hAnsi="仿宋" w:eastAsia="仿宋" w:cs="仿宋"/>
          <w:sz w:val="28"/>
          <w:szCs w:val="28"/>
        </w:rPr>
        <w:t>关注利率定价的合理性。</w:t>
      </w:r>
    </w:p>
    <w:p>
      <w:pPr>
        <w:spacing w:line="480" w:lineRule="exact"/>
        <w:ind w:firstLine="540"/>
        <w:rPr>
          <w:rFonts w:hint="eastAsia" w:ascii="仿宋_GB2312" w:eastAsia="仿宋_GB2312"/>
          <w:sz w:val="28"/>
          <w:szCs w:val="28"/>
        </w:rPr>
      </w:pPr>
    </w:p>
    <w:p>
      <w:pPr>
        <w:snapToGrid w:val="0"/>
        <w:spacing w:line="480" w:lineRule="exact"/>
        <w:jc w:val="center"/>
        <w:outlineLvl w:val="0"/>
        <w:rPr>
          <w:rFonts w:hint="eastAsia" w:ascii="黑体" w:hAnsi="Garamond" w:eastAsia="黑体"/>
          <w:bCs/>
          <w:sz w:val="28"/>
          <w:szCs w:val="28"/>
        </w:rPr>
      </w:pPr>
      <w:r>
        <w:rPr>
          <w:rFonts w:hint="eastAsia" w:ascii="黑体" w:hAnsi="Garamond" w:eastAsia="黑体" w:cs="仿宋_GB2312"/>
          <w:bCs/>
          <w:sz w:val="28"/>
          <w:szCs w:val="28"/>
        </w:rPr>
        <w:t>第三章  业务操作流程</w:t>
      </w:r>
    </w:p>
    <w:p>
      <w:pPr>
        <w:spacing w:line="480" w:lineRule="exact"/>
      </w:pP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第十二条  授信申请</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申请人向我行提出质押授信额度申请，应提交以下材料：</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公司客户封闭式非保本理财产品质押授信业务受理申请书》（见附件1-1，简称受理申请书），尚未购买理财产品的客户仅填写拟申请的具体授信业务品种，已购买理财产品的客户除注明申请的具体授信业务品种外，还应注明拟出质的理财产品代码、协议编号、认购金额、起息日、到期日等信息，受理申请书中应加盖申请人公章和法定代表人章；</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已通过柜面渠道购买理财产品的客户应提供《上海银行公司客户人民币封闭式理财产品协议书》或《上海银行外汇对公理财产品协议书》（以下简称理财产品协议书）及《上海银行公司客户人民币封闭式理财产品认购申请表》（以下简称认购申请表）；</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（三）具体授信业务品种需要的其他材料。</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第十三条  授信调查和审批</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除根据具体授信业务品种相关要求进行授信调查和审批外，</w:t>
      </w:r>
      <w:r>
        <w:rPr>
          <w:rFonts w:hint="eastAsia" w:ascii="仿宋" w:hAnsi="仿宋" w:eastAsia="仿宋" w:cs="仿宋"/>
          <w:sz w:val="28"/>
          <w:szCs w:val="28"/>
          <w:lang w:eastAsia="zh-CN"/>
        </w:rPr>
        <w:t>审查</w:t>
      </w:r>
      <w:r>
        <w:rPr>
          <w:rFonts w:hint="eastAsia" w:ascii="仿宋" w:hAnsi="仿宋" w:eastAsia="仿宋" w:cs="仿宋"/>
          <w:sz w:val="28"/>
          <w:szCs w:val="28"/>
        </w:rPr>
        <w:t>审批人员还应审查授信是否符合本规程第二章相关规定，重点包括以下内容：</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（一）申请人行业背景和地位、生产经营状况、经营历史等；</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（二）主要负责人从业经历等相关背景情况；</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（三）申请人上下游客户关系、交易历史；</w:t>
      </w:r>
    </w:p>
    <w:p>
      <w:pPr>
        <w:spacing w:line="480" w:lineRule="exact"/>
        <w:ind w:firstLine="560" w:firstLineChars="200"/>
        <w:rPr>
          <w:rFonts w:hint="eastAsia" w:ascii="仿宋" w:hAnsi="仿宋" w:eastAsia="仿宋" w:cs="仿宋"/>
          <w:sz w:val="28"/>
          <w:szCs w:val="28"/>
          <w:lang w:eastAsia="zh-CN"/>
        </w:rPr>
      </w:pPr>
      <w:r>
        <w:rPr>
          <w:rFonts w:hint="eastAsia" w:ascii="仿宋" w:hAnsi="仿宋" w:eastAsia="仿宋" w:cs="仿宋"/>
          <w:sz w:val="28"/>
          <w:szCs w:val="28"/>
        </w:rPr>
        <w:t>（四）</w:t>
      </w:r>
      <w:r>
        <w:rPr>
          <w:rFonts w:hint="eastAsia" w:ascii="仿宋" w:hAnsi="仿宋" w:eastAsia="仿宋" w:cs="仿宋"/>
          <w:sz w:val="28"/>
          <w:szCs w:val="28"/>
          <w:lang w:eastAsia="zh-CN"/>
        </w:rPr>
        <w:t>出质人购买理财产品的资金来源，核实</w:t>
      </w:r>
      <w:r>
        <w:rPr>
          <w:rFonts w:hint="eastAsia" w:ascii="仿宋" w:hAnsi="仿宋" w:eastAsia="仿宋" w:cs="仿宋"/>
          <w:sz w:val="28"/>
          <w:szCs w:val="28"/>
        </w:rPr>
        <w:t>资金</w:t>
      </w:r>
      <w:r>
        <w:rPr>
          <w:rFonts w:hint="eastAsia" w:ascii="仿宋" w:hAnsi="仿宋" w:eastAsia="仿宋" w:cs="仿宋"/>
          <w:sz w:val="28"/>
          <w:szCs w:val="28"/>
          <w:lang w:eastAsia="zh-CN"/>
        </w:rPr>
        <w:t>权属是否清晰且</w:t>
      </w:r>
      <w:r>
        <w:rPr>
          <w:rFonts w:hint="eastAsia" w:ascii="仿宋" w:hAnsi="仿宋" w:eastAsia="仿宋" w:cs="仿宋"/>
          <w:sz w:val="28"/>
          <w:szCs w:val="28"/>
        </w:rPr>
        <w:t>为出质人</w:t>
      </w:r>
      <w:r>
        <w:rPr>
          <w:rFonts w:hint="eastAsia" w:ascii="仿宋" w:hAnsi="仿宋" w:eastAsia="仿宋" w:cs="仿宋"/>
          <w:sz w:val="28"/>
          <w:szCs w:val="28"/>
          <w:lang w:eastAsia="zh-CN"/>
        </w:rPr>
        <w:t>自有资金</w:t>
      </w:r>
      <w:r>
        <w:rPr>
          <w:rFonts w:hint="eastAsia" w:ascii="仿宋" w:hAnsi="仿宋" w:eastAsia="仿宋" w:cs="仿宋"/>
          <w:sz w:val="28"/>
          <w:szCs w:val="28"/>
        </w:rPr>
        <w:t>，不可为我行/他行信贷资金</w:t>
      </w:r>
      <w:r>
        <w:rPr>
          <w:rFonts w:hint="eastAsia" w:ascii="仿宋" w:hAnsi="仿宋" w:eastAsia="仿宋" w:cs="仿宋"/>
          <w:sz w:val="28"/>
          <w:szCs w:val="28"/>
          <w:lang w:eastAsia="zh-CN"/>
        </w:rPr>
        <w:t>；</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lang w:eastAsia="zh-CN"/>
        </w:rPr>
        <w:t>（五）</w:t>
      </w:r>
      <w:r>
        <w:rPr>
          <w:rFonts w:hint="eastAsia" w:ascii="仿宋" w:hAnsi="仿宋" w:eastAsia="仿宋" w:cs="仿宋"/>
          <w:sz w:val="28"/>
          <w:szCs w:val="28"/>
        </w:rPr>
        <w:t>若申请人已购买理财产品，应要求经办行柜面提供“理财产品份额查询”功能项下查询的截止该时点的理财产品信息，主要包括产品名称、产品份额、可用份额、到期日及冻结情况等，并加盖柜面业务章；</w:t>
      </w:r>
    </w:p>
    <w:p>
      <w:pPr>
        <w:spacing w:line="480" w:lineRule="exact"/>
        <w:ind w:firstLine="560" w:firstLineChars="200"/>
        <w:rPr>
          <w:rFonts w:hint="eastAsia" w:ascii="仿宋" w:hAnsi="仿宋" w:eastAsia="仿宋" w:cs="仿宋"/>
          <w:sz w:val="28"/>
        </w:rPr>
      </w:pPr>
      <w:r>
        <w:rPr>
          <w:rFonts w:hint="eastAsia" w:ascii="仿宋" w:hAnsi="仿宋" w:eastAsia="仿宋" w:cs="仿宋"/>
          <w:sz w:val="28"/>
          <w:szCs w:val="28"/>
        </w:rPr>
        <w:t>（</w:t>
      </w:r>
      <w:r>
        <w:rPr>
          <w:rFonts w:hint="eastAsia" w:ascii="仿宋" w:hAnsi="仿宋" w:eastAsia="仿宋" w:cs="仿宋"/>
          <w:sz w:val="28"/>
          <w:szCs w:val="28"/>
          <w:lang w:eastAsia="zh-CN"/>
        </w:rPr>
        <w:t>六</w:t>
      </w:r>
      <w:r>
        <w:rPr>
          <w:rFonts w:hint="eastAsia" w:ascii="仿宋" w:hAnsi="仿宋" w:eastAsia="仿宋" w:cs="仿宋"/>
          <w:sz w:val="28"/>
          <w:szCs w:val="28"/>
        </w:rPr>
        <w:t>）</w:t>
      </w:r>
      <w:r>
        <w:rPr>
          <w:rFonts w:hint="eastAsia" w:ascii="仿宋" w:hAnsi="仿宋" w:eastAsia="仿宋" w:cs="仿宋"/>
          <w:sz w:val="28"/>
        </w:rPr>
        <w:t>理财产品认购开户行、资金返还开户行和质押授信受理行应为我行同一经办行。</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第十四条  协议签署及质押登记</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审批通过后，经办行应根据批复要求按照以下顺序办理签约等相关手续：</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（一）按照本规程第十条要求设置结算账户及保证金账户；</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（二）经办行与申请人签订具体授信业务合同及其它担保合同（如有）及《最高额质押合同（适用于单位理财产品质押）》（见附件1-2）；</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（三）经办行柜面人员根据业务部门出具的联系单对理财产品进行质押操作，操作完成后，柜面人员打印“通用凭证”，加盖柜面业务章和个人名章。对于通过柜面渠道购买的理财产品，还</w:t>
      </w:r>
      <w:r>
        <w:rPr>
          <w:rFonts w:hint="eastAsia" w:ascii="仿宋" w:hAnsi="仿宋" w:eastAsia="仿宋" w:cs="仿宋"/>
          <w:sz w:val="28"/>
          <w:szCs w:val="28"/>
          <w:lang w:eastAsia="zh-CN"/>
        </w:rPr>
        <w:t>应</w:t>
      </w:r>
      <w:r>
        <w:rPr>
          <w:rFonts w:hint="eastAsia" w:ascii="仿宋" w:hAnsi="仿宋" w:eastAsia="仿宋" w:cs="仿宋"/>
          <w:sz w:val="28"/>
          <w:szCs w:val="28"/>
        </w:rPr>
        <w:t>在认购申请表上加盖“上海银行股份有限公司XX分/支行已办理质押”字样。</w:t>
      </w:r>
    </w:p>
    <w:p>
      <w:pPr>
        <w:snapToGrid w:val="0"/>
        <w:spacing w:line="480" w:lineRule="exact"/>
        <w:ind w:firstLine="562" w:firstLineChars="200"/>
        <w:outlineLvl w:val="0"/>
        <w:rPr>
          <w:rFonts w:hint="eastAsia" w:ascii="仿宋" w:hAnsi="仿宋" w:eastAsia="仿宋" w:cs="仿宋"/>
          <w:sz w:val="28"/>
          <w:szCs w:val="28"/>
        </w:rPr>
      </w:pPr>
      <w:r>
        <w:rPr>
          <w:rFonts w:hint="eastAsia" w:ascii="仿宋" w:hAnsi="仿宋" w:eastAsia="仿宋" w:cs="仿宋"/>
          <w:b/>
          <w:bCs/>
          <w:sz w:val="28"/>
          <w:szCs w:val="28"/>
        </w:rPr>
        <w:t>第十五条  动产融资统一登记</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理财产品质押应参照中国人民银行《动产和权利担保统一登记办法》</w:t>
      </w:r>
      <w:r>
        <w:rPr>
          <w:rFonts w:hint="eastAsia" w:ascii="仿宋" w:hAnsi="仿宋" w:eastAsia="仿宋" w:cs="仿宋"/>
          <w:sz w:val="28"/>
          <w:szCs w:val="28"/>
          <w:lang w:eastAsia="zh-CN"/>
        </w:rPr>
        <w:t>（中国人民银行令〔2021〕第7号）及其修订文件</w:t>
      </w:r>
      <w:r>
        <w:rPr>
          <w:rFonts w:hint="eastAsia" w:ascii="仿宋" w:hAnsi="仿宋" w:eastAsia="仿宋" w:cs="仿宋"/>
          <w:sz w:val="28"/>
          <w:szCs w:val="28"/>
        </w:rPr>
        <w:t>、按照《上海银行动产融资统一登记公示系统管理规程》（上银办〔2022〕210号）</w:t>
      </w:r>
      <w:r>
        <w:rPr>
          <w:rFonts w:hint="eastAsia" w:ascii="仿宋" w:hAnsi="仿宋" w:eastAsia="仿宋" w:cs="仿宋"/>
          <w:sz w:val="28"/>
          <w:szCs w:val="28"/>
          <w:lang w:val="en-US" w:eastAsia="zh-CN"/>
        </w:rPr>
        <w:t>及其修订文件</w:t>
      </w:r>
      <w:r>
        <w:rPr>
          <w:rFonts w:hint="eastAsia" w:ascii="仿宋" w:hAnsi="仿宋" w:eastAsia="仿宋" w:cs="仿宋"/>
          <w:sz w:val="28"/>
          <w:szCs w:val="28"/>
        </w:rPr>
        <w:t>中关于质押登记的要求，根据《最高额质押合同（适用于单位理财产品质押）》的内容，在“动产融资统一登记公示系统”办理质押登记。质押登记要点如下：</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（一）登记内容</w:t>
      </w:r>
    </w:p>
    <w:p>
      <w:pPr>
        <w:snapToGrid w:val="0"/>
        <w:spacing w:line="480" w:lineRule="exact"/>
        <w:ind w:firstLine="560" w:firstLineChars="200"/>
        <w:rPr>
          <w:rFonts w:hint="eastAsia" w:ascii="仿宋" w:hAnsi="仿宋" w:eastAsia="仿宋" w:cs="仿宋"/>
          <w:spacing w:val="-6"/>
          <w:sz w:val="28"/>
          <w:szCs w:val="28"/>
        </w:rPr>
      </w:pPr>
      <w:r>
        <w:rPr>
          <w:rFonts w:hint="eastAsia" w:ascii="仿宋" w:hAnsi="仿宋" w:eastAsia="仿宋" w:cs="仿宋"/>
          <w:sz w:val="28"/>
          <w:szCs w:val="28"/>
        </w:rPr>
        <w:t>根据《最高额质押合同（适用于单位理财产品质押）》，理财产品按</w:t>
      </w:r>
      <w:r>
        <w:rPr>
          <w:rFonts w:hint="eastAsia" w:ascii="仿宋" w:hAnsi="仿宋" w:eastAsia="仿宋" w:cs="仿宋"/>
          <w:spacing w:val="-6"/>
          <w:sz w:val="28"/>
          <w:szCs w:val="28"/>
        </w:rPr>
        <w:t>照理财产品/计划全称、产品代码、协议编号和理财产品份额等要素进行描述。</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（二）质押期限</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登记期限应至少设立为从登记之日起至授信债权到期日后两年（即授信债权诉讼时效届满时）止。</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（三）登记要求</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登记时应正确填写申请人信息、质权人信息、登记期限等信息，并上传《最高额质押合同（适用于单位理财产品质押）》。</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（四）登记确认</w:t>
      </w:r>
    </w:p>
    <w:p>
      <w:pPr>
        <w:snapToGrid w:val="0"/>
        <w:spacing w:line="480" w:lineRule="exact"/>
        <w:ind w:firstLine="536" w:firstLineChars="200"/>
        <w:rPr>
          <w:rFonts w:hint="eastAsia" w:ascii="仿宋" w:hAnsi="仿宋" w:eastAsia="仿宋" w:cs="仿宋"/>
          <w:spacing w:val="-6"/>
          <w:sz w:val="28"/>
          <w:szCs w:val="28"/>
        </w:rPr>
      </w:pPr>
      <w:r>
        <w:rPr>
          <w:rFonts w:hint="eastAsia" w:ascii="仿宋" w:hAnsi="仿宋" w:eastAsia="仿宋" w:cs="仿宋"/>
          <w:spacing w:val="-6"/>
          <w:sz w:val="28"/>
          <w:szCs w:val="28"/>
        </w:rPr>
        <w:t>质押登记人员从系统中打印我行已经进行质押登记的结果作为放款资料。</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第十六条  放款审核</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除一般授信业务放款审核要求外，放款审核人员还应审核以下与理财产品质押相关的资料，办理放款手续并整理归档：</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（一）申请人提交的《公司客户封闭式非保本理财产品质押提款申请书》（见附件1-3）；</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（二）经办行柜面人员出具的，已加盖柜面业务章和个人名章且记载有质押信息的“通用凭证”；</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（三）已办理质押登记证明材料；</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（四）提供同意办理质押业务的董事会或者股东会、股东大会决议等相关授权法律文件（具体以公司章程及公司法规定为准）；</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（五）其余放款、还款手续参照具体授信业务相关规定办理。</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第十七条  贷后管理</w:t>
      </w:r>
    </w:p>
    <w:p>
      <w:pPr>
        <w:tabs>
          <w:tab w:val="center" w:pos="4507"/>
        </w:tabs>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各经办行应按我行涉信业务授信后管理工作指引、非零授信业务授信后管理规程等相关对公客户授信后管理要求，履行贷后管理的职责。</w:t>
      </w:r>
    </w:p>
    <w:p>
      <w:pPr>
        <w:tabs>
          <w:tab w:val="center" w:pos="4507"/>
        </w:tabs>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（一）理财产品到期处理</w:t>
      </w:r>
    </w:p>
    <w:p>
      <w:pPr>
        <w:tabs>
          <w:tab w:val="center" w:pos="4507"/>
        </w:tabs>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理财产品到期清算日，系统将自动完成产品本金及收益的清算，并将质押份额对应的本金及收益兑付至保证金账户。</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（二）理财产品提前赎回、提前兑付</w:t>
      </w:r>
    </w:p>
    <w:p>
      <w:pPr>
        <w:spacing w:line="480" w:lineRule="exact"/>
        <w:ind w:firstLine="560" w:firstLineChars="200"/>
        <w:rPr>
          <w:rFonts w:hint="eastAsia" w:ascii="仿宋" w:hAnsi="仿宋" w:eastAsia="仿宋" w:cs="仿宋"/>
          <w:sz w:val="28"/>
          <w:szCs w:val="28"/>
          <w:highlight w:val="yellow"/>
        </w:rPr>
      </w:pPr>
      <w:r>
        <w:rPr>
          <w:rFonts w:hint="eastAsia" w:ascii="仿宋" w:hAnsi="仿宋" w:eastAsia="仿宋" w:cs="仿宋"/>
          <w:sz w:val="28"/>
          <w:szCs w:val="28"/>
        </w:rPr>
        <w:t>在授信期内，申请人不得提前部分支取或全额赎回已出质的理财产品；在授信期内，若申请人发生本规程第十九条所列情况，我行有权强制提前兑付申请人出质的理财产品，以所得理财产品本金及收益款用于偿还申请人所欠我行债务，由此导致申请人在理财收益上的损失，由申请人自行承担。</w:t>
      </w:r>
      <w:r>
        <w:rPr>
          <w:rFonts w:hint="eastAsia" w:ascii="仿宋" w:hAnsi="仿宋" w:eastAsia="仿宋" w:cs="仿宋"/>
          <w:sz w:val="28"/>
          <w:szCs w:val="28"/>
          <w:highlight w:val="none"/>
        </w:rPr>
        <w:t>如发生理财产品提前兑付情况，各经办行应遵照《上海银行代理销售理财公司对公理财产品业务管理办法</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lang w:val="en-US" w:eastAsia="zh-CN"/>
        </w:rPr>
        <w:t>2024年版</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rPr>
        <w:t>》（上银发〔202</w:t>
      </w:r>
      <w:r>
        <w:rPr>
          <w:rFonts w:hint="eastAsia" w:ascii="仿宋" w:hAnsi="仿宋" w:eastAsia="仿宋" w:cs="仿宋"/>
          <w:sz w:val="28"/>
          <w:szCs w:val="28"/>
          <w:highlight w:val="none"/>
          <w:lang w:eastAsia="zh-CN"/>
        </w:rPr>
        <w:t>4</w:t>
      </w:r>
      <w:r>
        <w:rPr>
          <w:rFonts w:hint="eastAsia" w:ascii="仿宋" w:hAnsi="仿宋" w:eastAsia="仿宋" w:cs="仿宋"/>
          <w:sz w:val="28"/>
          <w:szCs w:val="28"/>
          <w:highlight w:val="none"/>
        </w:rPr>
        <w:t>〕</w:t>
      </w:r>
      <w:r>
        <w:rPr>
          <w:rFonts w:hint="eastAsia" w:ascii="仿宋" w:hAnsi="仿宋" w:eastAsia="仿宋" w:cs="仿宋"/>
          <w:sz w:val="28"/>
          <w:szCs w:val="28"/>
          <w:highlight w:val="none"/>
          <w:lang w:eastAsia="zh-CN"/>
        </w:rPr>
        <w:t>1</w:t>
      </w:r>
      <w:r>
        <w:rPr>
          <w:rFonts w:hint="eastAsia" w:ascii="仿宋" w:hAnsi="仿宋" w:eastAsia="仿宋" w:cs="仿宋"/>
          <w:sz w:val="28"/>
          <w:szCs w:val="28"/>
          <w:highlight w:val="none"/>
          <w:lang w:val="en-US" w:eastAsia="zh-CN"/>
        </w:rPr>
        <w:t>13</w:t>
      </w:r>
      <w:r>
        <w:rPr>
          <w:rFonts w:hint="eastAsia" w:ascii="仿宋" w:hAnsi="仿宋" w:eastAsia="仿宋" w:cs="仿宋"/>
          <w:sz w:val="28"/>
          <w:szCs w:val="28"/>
          <w:highlight w:val="none"/>
        </w:rPr>
        <w:t>号）</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rPr>
        <w:t>《上海银行授信业务保证金管理办法》（上银办〔20</w:t>
      </w:r>
      <w:r>
        <w:rPr>
          <w:rFonts w:hint="eastAsia" w:ascii="仿宋" w:hAnsi="仿宋" w:eastAsia="仿宋" w:cs="仿宋"/>
          <w:sz w:val="28"/>
          <w:szCs w:val="28"/>
          <w:highlight w:val="none"/>
          <w:lang w:val="en-US" w:eastAsia="zh-CN"/>
        </w:rPr>
        <w:t>25</w:t>
      </w:r>
      <w:r>
        <w:rPr>
          <w:rFonts w:hint="eastAsia" w:ascii="仿宋" w:hAnsi="仿宋" w:eastAsia="仿宋" w:cs="仿宋"/>
          <w:sz w:val="28"/>
          <w:szCs w:val="28"/>
          <w:highlight w:val="none"/>
        </w:rPr>
        <w:t>〕</w:t>
      </w:r>
      <w:r>
        <w:rPr>
          <w:rFonts w:hint="eastAsia" w:ascii="仿宋" w:hAnsi="仿宋" w:eastAsia="仿宋" w:cs="仿宋"/>
          <w:sz w:val="28"/>
          <w:szCs w:val="28"/>
          <w:highlight w:val="none"/>
          <w:lang w:val="en-US" w:eastAsia="zh-CN"/>
        </w:rPr>
        <w:t>8</w:t>
      </w:r>
      <w:r>
        <w:rPr>
          <w:rFonts w:hint="eastAsia" w:ascii="仿宋" w:hAnsi="仿宋" w:eastAsia="仿宋" w:cs="仿宋"/>
          <w:sz w:val="28"/>
          <w:szCs w:val="28"/>
          <w:highlight w:val="none"/>
        </w:rPr>
        <w:t>号）</w:t>
      </w:r>
      <w:r>
        <w:rPr>
          <w:rFonts w:hint="eastAsia" w:ascii="仿宋" w:hAnsi="仿宋" w:eastAsia="仿宋" w:cs="仿宋"/>
          <w:sz w:val="28"/>
          <w:szCs w:val="28"/>
          <w:highlight w:val="none"/>
          <w:lang w:val="en-US" w:eastAsia="zh-CN"/>
        </w:rPr>
        <w:t>及其修订文件</w:t>
      </w:r>
      <w:r>
        <w:rPr>
          <w:rFonts w:hint="eastAsia" w:ascii="仿宋" w:hAnsi="仿宋" w:eastAsia="仿宋" w:cs="仿宋"/>
          <w:sz w:val="28"/>
          <w:szCs w:val="28"/>
          <w:highlight w:val="none"/>
        </w:rPr>
        <w:t>相关规定执行，</w:t>
      </w:r>
      <w:r>
        <w:rPr>
          <w:rFonts w:hint="eastAsia" w:ascii="仿宋" w:hAnsi="仿宋" w:eastAsia="仿宋" w:cs="仿宋"/>
          <w:sz w:val="28"/>
          <w:szCs w:val="28"/>
          <w:highlight w:val="none"/>
          <w:lang w:eastAsia="zh-CN"/>
        </w:rPr>
        <w:t>应</w:t>
      </w:r>
      <w:r>
        <w:rPr>
          <w:rFonts w:hint="eastAsia" w:ascii="仿宋" w:hAnsi="仿宋" w:eastAsia="仿宋" w:cs="仿宋"/>
          <w:sz w:val="28"/>
          <w:szCs w:val="28"/>
          <w:highlight w:val="none"/>
        </w:rPr>
        <w:t>落实专人确保对应的理财产品本金及收益划入保证金账户。</w:t>
      </w:r>
    </w:p>
    <w:p>
      <w:pPr>
        <w:spacing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highlight w:val="none"/>
        </w:rPr>
        <w:t>若扣划质物仍不足以清偿贷款的，我行应继续向申请人追偿，包括但不限于扣划申请人在我行其他账户内的资金。</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第十八条  授信归还</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客户经理应在授信业务到期前5个工作日</w:t>
      </w:r>
      <w:r>
        <w:rPr>
          <w:rFonts w:hint="eastAsia" w:ascii="仿宋" w:hAnsi="仿宋" w:eastAsia="仿宋" w:cs="仿宋"/>
          <w:sz w:val="28"/>
          <w:szCs w:val="24"/>
        </w:rPr>
        <w:t>及时通知申请人备付相关款项用于还款。</w:t>
      </w:r>
      <w:r>
        <w:rPr>
          <w:rFonts w:hint="eastAsia" w:ascii="仿宋" w:hAnsi="仿宋" w:eastAsia="仿宋" w:cs="仿宋"/>
          <w:sz w:val="28"/>
          <w:szCs w:val="28"/>
        </w:rPr>
        <w:t>对于承兑汇票或信用证等要按时对外支付的业务，应确保付款资金按时到账。</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kern w:val="0"/>
          <w:sz w:val="28"/>
          <w:szCs w:val="28"/>
        </w:rPr>
        <w:t>授信</w:t>
      </w:r>
      <w:r>
        <w:rPr>
          <w:rFonts w:hint="eastAsia" w:ascii="仿宋" w:hAnsi="仿宋" w:eastAsia="仿宋" w:cs="仿宋"/>
          <w:kern w:val="0"/>
          <w:sz w:val="28"/>
          <w:szCs w:val="28"/>
          <w:lang w:eastAsia="zh-CN"/>
        </w:rPr>
        <w:t>业务</w:t>
      </w:r>
      <w:r>
        <w:rPr>
          <w:rFonts w:hint="eastAsia" w:ascii="仿宋" w:hAnsi="仿宋" w:eastAsia="仿宋" w:cs="仿宋"/>
          <w:kern w:val="0"/>
          <w:sz w:val="28"/>
          <w:szCs w:val="28"/>
        </w:rPr>
        <w:t>到期日，申请人未按期足额还款或兑付的</w:t>
      </w:r>
      <w:r>
        <w:rPr>
          <w:rFonts w:hint="eastAsia" w:ascii="仿宋" w:hAnsi="仿宋" w:eastAsia="仿宋" w:cs="仿宋"/>
          <w:kern w:val="0"/>
          <w:sz w:val="28"/>
          <w:szCs w:val="28"/>
          <w:lang w:eastAsia="zh-CN"/>
        </w:rPr>
        <w:t>，</w:t>
      </w:r>
      <w:r>
        <w:rPr>
          <w:rFonts w:hint="eastAsia" w:ascii="仿宋" w:hAnsi="仿宋" w:eastAsia="仿宋" w:cs="仿宋"/>
          <w:sz w:val="28"/>
          <w:szCs w:val="28"/>
        </w:rPr>
        <w:t>经办行应</w:t>
      </w:r>
      <w:r>
        <w:rPr>
          <w:rFonts w:hint="eastAsia" w:ascii="仿宋" w:hAnsi="仿宋" w:eastAsia="仿宋" w:cs="仿宋"/>
          <w:sz w:val="28"/>
          <w:szCs w:val="28"/>
          <w:lang w:eastAsia="zh-CN"/>
        </w:rPr>
        <w:t>依据</w:t>
      </w:r>
      <w:r>
        <w:rPr>
          <w:rFonts w:hint="eastAsia" w:ascii="仿宋" w:hAnsi="仿宋" w:eastAsia="仿宋" w:cs="仿宋"/>
          <w:sz w:val="28"/>
          <w:szCs w:val="28"/>
        </w:rPr>
        <w:t>《上海银行授信业务保证金管理办法》</w:t>
      </w:r>
      <w:r>
        <w:rPr>
          <w:rFonts w:hint="eastAsia" w:ascii="仿宋" w:hAnsi="仿宋" w:eastAsia="仿宋" w:cs="仿宋"/>
          <w:sz w:val="28"/>
          <w:szCs w:val="28"/>
          <w:highlight w:val="none"/>
        </w:rPr>
        <w:t>（上银办〔20</w:t>
      </w:r>
      <w:r>
        <w:rPr>
          <w:rFonts w:hint="eastAsia" w:ascii="仿宋" w:hAnsi="仿宋" w:eastAsia="仿宋" w:cs="仿宋"/>
          <w:sz w:val="28"/>
          <w:szCs w:val="28"/>
          <w:highlight w:val="none"/>
          <w:lang w:val="en-US" w:eastAsia="zh-CN"/>
        </w:rPr>
        <w:t>25</w:t>
      </w:r>
      <w:r>
        <w:rPr>
          <w:rFonts w:hint="eastAsia" w:ascii="仿宋" w:hAnsi="仿宋" w:eastAsia="仿宋" w:cs="仿宋"/>
          <w:sz w:val="28"/>
          <w:szCs w:val="28"/>
          <w:highlight w:val="none"/>
        </w:rPr>
        <w:t>〕</w:t>
      </w:r>
      <w:r>
        <w:rPr>
          <w:rFonts w:hint="eastAsia" w:ascii="仿宋" w:hAnsi="仿宋" w:eastAsia="仿宋" w:cs="仿宋"/>
          <w:sz w:val="28"/>
          <w:szCs w:val="28"/>
          <w:highlight w:val="none"/>
          <w:lang w:val="en-US" w:eastAsia="zh-CN"/>
        </w:rPr>
        <w:t>8</w:t>
      </w:r>
      <w:r>
        <w:rPr>
          <w:rFonts w:hint="eastAsia" w:ascii="仿宋" w:hAnsi="仿宋" w:eastAsia="仿宋" w:cs="仿宋"/>
          <w:sz w:val="28"/>
          <w:szCs w:val="28"/>
          <w:highlight w:val="none"/>
        </w:rPr>
        <w:t>号）</w:t>
      </w:r>
      <w:r>
        <w:rPr>
          <w:rFonts w:hint="eastAsia" w:ascii="仿宋" w:hAnsi="仿宋" w:eastAsia="仿宋" w:cs="仿宋"/>
          <w:sz w:val="28"/>
          <w:szCs w:val="28"/>
          <w:highlight w:val="none"/>
          <w:lang w:eastAsia="zh-CN"/>
        </w:rPr>
        <w:t>及其修订文件的</w:t>
      </w:r>
      <w:r>
        <w:rPr>
          <w:rFonts w:hint="eastAsia" w:ascii="仿宋" w:hAnsi="仿宋" w:eastAsia="仿宋" w:cs="仿宋"/>
          <w:sz w:val="28"/>
          <w:szCs w:val="28"/>
        </w:rPr>
        <w:t>相关规定，直接扣划保证金账户中的资金用于归还授信项下本金、利息及相关费用；待申请人授信项下全部本金、利息及相关费用结清后，方可将剩余资金划转至申请人结算账户。</w:t>
      </w:r>
    </w:p>
    <w:p>
      <w:pPr>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若质押的理财产品与授信业务的货币单位不一致，其理财产品返还资金需结汇/购汇还贷的，</w:t>
      </w:r>
      <w:r>
        <w:rPr>
          <w:rFonts w:hint="eastAsia" w:ascii="仿宋" w:hAnsi="仿宋" w:eastAsia="仿宋" w:cs="仿宋"/>
          <w:sz w:val="28"/>
          <w:szCs w:val="28"/>
          <w:lang w:eastAsia="zh-CN"/>
        </w:rPr>
        <w:t>客户经理</w:t>
      </w:r>
      <w:r>
        <w:rPr>
          <w:rFonts w:hint="eastAsia" w:ascii="仿宋" w:hAnsi="仿宋" w:eastAsia="仿宋" w:cs="仿宋"/>
          <w:sz w:val="28"/>
          <w:szCs w:val="28"/>
        </w:rPr>
        <w:t>应通知申请人持相关结汇/购汇材料前往经办行办理相关结汇/购汇手续。</w:t>
      </w:r>
    </w:p>
    <w:p>
      <w:pPr>
        <w:snapToGrid w:val="0"/>
        <w:spacing w:line="480" w:lineRule="exact"/>
        <w:ind w:firstLine="562" w:firstLineChars="200"/>
        <w:outlineLvl w:val="0"/>
        <w:rPr>
          <w:rFonts w:hint="eastAsia" w:ascii="仿宋" w:hAnsi="仿宋" w:eastAsia="仿宋" w:cs="仿宋"/>
          <w:sz w:val="28"/>
          <w:szCs w:val="28"/>
        </w:rPr>
      </w:pPr>
      <w:r>
        <w:rPr>
          <w:rFonts w:hint="eastAsia" w:ascii="仿宋" w:hAnsi="仿宋" w:eastAsia="仿宋" w:cs="仿宋"/>
          <w:b/>
          <w:bCs/>
          <w:sz w:val="28"/>
          <w:szCs w:val="28"/>
        </w:rPr>
        <w:t>第十九条  额度提前终止</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申请人违反与我行签订的相关协议、合同约定，或申请人具有以下情况之一的，经办行应根据相关协议约定及时采取有效措施，提前收回部分或全部授信。若理财产品尚未到期的，除本条第（四）款情形外按本规程理财产品提前兑付规定提前扣划质押的理财产品款项偿还授信业务本息：</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（一）申请人向我行提交虚假材料或证明文件；</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（二）申请人发生足以影响其偿债能力、资信的变动，如破产、兼并、重组等；</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（三）申请人涉讼或即将涉入诉讼、仲裁或其他法律纠纷；</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（四）司法机关等对申请人理财账户进行查封、冻结、扣划等情况；</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（五）其他我行认为可能损害信贷资产安全的情况。</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第二十条  授信业务本息结清后解除质押</w:t>
      </w:r>
    </w:p>
    <w:p>
      <w:pPr>
        <w:spacing w:line="480" w:lineRule="exact"/>
        <w:ind w:firstLine="560" w:firstLineChars="200"/>
        <w:rPr>
          <w:rFonts w:hint="eastAsia" w:ascii="仿宋" w:hAnsi="仿宋" w:eastAsia="仿宋" w:cs="仿宋"/>
          <w:sz w:val="28"/>
          <w:lang w:val="en-US" w:eastAsia="zh-CN"/>
        </w:rPr>
      </w:pPr>
      <w:r>
        <w:rPr>
          <w:rFonts w:hint="eastAsia" w:ascii="仿宋" w:hAnsi="仿宋" w:eastAsia="仿宋" w:cs="仿宋"/>
          <w:sz w:val="28"/>
          <w:szCs w:val="28"/>
        </w:rPr>
        <w:t>申请人结清授信项下全部贷款本息及相关费用后，</w:t>
      </w:r>
      <w:r>
        <w:rPr>
          <w:rFonts w:hint="eastAsia" w:ascii="仿宋" w:hAnsi="仿宋" w:eastAsia="仿宋" w:cs="仿宋"/>
          <w:sz w:val="28"/>
        </w:rPr>
        <w:t>且保证金账户内资金尚有余额的，</w:t>
      </w:r>
      <w:r>
        <w:rPr>
          <w:rFonts w:hint="eastAsia" w:ascii="仿宋" w:hAnsi="仿宋" w:eastAsia="仿宋" w:cs="仿宋"/>
          <w:sz w:val="28"/>
          <w:highlight w:val="none"/>
        </w:rPr>
        <w:t>客户经理</w:t>
      </w:r>
      <w:r>
        <w:rPr>
          <w:rFonts w:hint="eastAsia" w:ascii="仿宋" w:hAnsi="仿宋" w:eastAsia="仿宋" w:cs="仿宋"/>
          <w:sz w:val="28"/>
          <w:highlight w:val="none"/>
          <w:lang w:eastAsia="zh-CN"/>
        </w:rPr>
        <w:t>按照</w:t>
      </w:r>
      <w:r>
        <w:rPr>
          <w:rFonts w:hint="eastAsia" w:ascii="仿宋" w:hAnsi="仿宋" w:eastAsia="仿宋" w:cs="仿宋"/>
          <w:sz w:val="28"/>
          <w:szCs w:val="28"/>
          <w:highlight w:val="none"/>
          <w:lang w:eastAsia="zh-CN"/>
        </w:rPr>
        <w:t>《上海银行授信业务保证金运营管理规程》</w:t>
      </w:r>
      <w:r>
        <w:rPr>
          <w:rFonts w:hint="eastAsia" w:ascii="仿宋" w:hAnsi="仿宋" w:eastAsia="仿宋" w:cs="仿宋"/>
          <w:sz w:val="28"/>
          <w:szCs w:val="28"/>
          <w:highlight w:val="none"/>
        </w:rPr>
        <w:t>（上银办〔20</w:t>
      </w:r>
      <w:r>
        <w:rPr>
          <w:rFonts w:hint="eastAsia" w:ascii="仿宋" w:hAnsi="仿宋" w:eastAsia="仿宋" w:cs="仿宋"/>
          <w:sz w:val="28"/>
          <w:szCs w:val="28"/>
          <w:highlight w:val="none"/>
          <w:lang w:val="en-US" w:eastAsia="zh-CN"/>
        </w:rPr>
        <w:t>25</w:t>
      </w:r>
      <w:r>
        <w:rPr>
          <w:rFonts w:hint="eastAsia" w:ascii="仿宋" w:hAnsi="仿宋" w:eastAsia="仿宋" w:cs="仿宋"/>
          <w:sz w:val="28"/>
          <w:szCs w:val="28"/>
          <w:highlight w:val="none"/>
        </w:rPr>
        <w:t>〕</w:t>
      </w:r>
      <w:r>
        <w:rPr>
          <w:rFonts w:hint="eastAsia" w:ascii="仿宋" w:hAnsi="仿宋" w:eastAsia="仿宋" w:cs="仿宋"/>
          <w:sz w:val="28"/>
          <w:szCs w:val="28"/>
          <w:highlight w:val="none"/>
          <w:lang w:val="en-US" w:eastAsia="zh-CN"/>
        </w:rPr>
        <w:t>83</w:t>
      </w:r>
      <w:r>
        <w:rPr>
          <w:rFonts w:hint="eastAsia" w:ascii="仿宋" w:hAnsi="仿宋" w:eastAsia="仿宋" w:cs="仿宋"/>
          <w:sz w:val="28"/>
          <w:szCs w:val="28"/>
          <w:highlight w:val="none"/>
        </w:rPr>
        <w:t>号）</w:t>
      </w:r>
      <w:r>
        <w:rPr>
          <w:rFonts w:hint="eastAsia" w:ascii="仿宋" w:hAnsi="仿宋" w:eastAsia="仿宋" w:cs="仿宋"/>
          <w:sz w:val="28"/>
          <w:szCs w:val="28"/>
          <w:highlight w:val="none"/>
          <w:lang w:eastAsia="zh-CN"/>
        </w:rPr>
        <w:t>及其修订文件的</w:t>
      </w:r>
      <w:r>
        <w:rPr>
          <w:rFonts w:hint="eastAsia" w:ascii="仿宋" w:hAnsi="仿宋" w:eastAsia="仿宋" w:cs="仿宋"/>
          <w:sz w:val="28"/>
          <w:szCs w:val="28"/>
          <w:highlight w:val="none"/>
        </w:rPr>
        <w:t>相关</w:t>
      </w:r>
      <w:r>
        <w:rPr>
          <w:rFonts w:hint="eastAsia" w:ascii="仿宋" w:hAnsi="仿宋" w:eastAsia="仿宋" w:cs="仿宋"/>
          <w:sz w:val="28"/>
          <w:szCs w:val="28"/>
          <w:highlight w:val="none"/>
          <w:lang w:eastAsia="zh-CN"/>
        </w:rPr>
        <w:t>要求</w:t>
      </w:r>
      <w:r>
        <w:rPr>
          <w:rFonts w:hint="eastAsia" w:ascii="仿宋" w:hAnsi="仿宋" w:eastAsia="仿宋" w:cs="仿宋"/>
          <w:sz w:val="28"/>
          <w:highlight w:val="none"/>
        </w:rPr>
        <w:t>，</w:t>
      </w:r>
      <w:r>
        <w:rPr>
          <w:rFonts w:hint="eastAsia" w:ascii="仿宋" w:hAnsi="仿宋" w:eastAsia="仿宋" w:cs="仿宋"/>
          <w:sz w:val="28"/>
          <w:highlight w:val="none"/>
          <w:lang w:eastAsia="zh-CN"/>
        </w:rPr>
        <w:t>及时</w:t>
      </w:r>
      <w:r>
        <w:rPr>
          <w:rFonts w:hint="eastAsia" w:ascii="仿宋" w:hAnsi="仿宋" w:eastAsia="仿宋" w:cs="仿宋"/>
          <w:sz w:val="28"/>
        </w:rPr>
        <w:t>将保证金账户</w:t>
      </w:r>
      <w:r>
        <w:rPr>
          <w:rFonts w:hint="eastAsia" w:ascii="仿宋" w:hAnsi="仿宋" w:eastAsia="仿宋" w:cs="仿宋"/>
          <w:sz w:val="28"/>
          <w:lang w:eastAsia="zh-CN"/>
        </w:rPr>
        <w:t>销户，并将保证金账户</w:t>
      </w:r>
      <w:r>
        <w:rPr>
          <w:rFonts w:hint="eastAsia" w:ascii="仿宋" w:hAnsi="仿宋" w:eastAsia="仿宋" w:cs="仿宋"/>
          <w:sz w:val="28"/>
        </w:rPr>
        <w:t>内资金划转至申请人结算账户</w:t>
      </w:r>
      <w:r>
        <w:rPr>
          <w:rFonts w:hint="eastAsia" w:ascii="仿宋" w:hAnsi="仿宋" w:eastAsia="仿宋" w:cs="仿宋"/>
          <w:sz w:val="28"/>
          <w:szCs w:val="28"/>
        </w:rPr>
        <w:t>，理财产品质押协议自动解除</w:t>
      </w:r>
      <w:r>
        <w:rPr>
          <w:rFonts w:hint="eastAsia" w:ascii="仿宋" w:hAnsi="仿宋" w:eastAsia="仿宋" w:cs="仿宋"/>
          <w:sz w:val="28"/>
          <w:szCs w:val="28"/>
          <w:lang w:eastAsia="zh-CN"/>
        </w:rPr>
        <w:t>。</w:t>
      </w:r>
    </w:p>
    <w:p>
      <w:pPr>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质押登记人员在人行动产融资统一登记公示系统中注销理财产品质押登记</w:t>
      </w:r>
      <w:r>
        <w:rPr>
          <w:rFonts w:hint="eastAsia" w:ascii="仿宋" w:hAnsi="仿宋" w:eastAsia="仿宋" w:cs="仿宋"/>
          <w:sz w:val="28"/>
          <w:lang w:eastAsia="zh-CN"/>
        </w:rPr>
        <w:t>。</w:t>
      </w:r>
    </w:p>
    <w:p>
      <w:pPr>
        <w:snapToGrid w:val="0"/>
        <w:spacing w:line="480" w:lineRule="exact"/>
        <w:ind w:firstLine="560" w:firstLineChars="200"/>
        <w:rPr>
          <w:rFonts w:hint="eastAsia" w:ascii="仿宋" w:hAnsi="仿宋" w:eastAsia="仿宋" w:cs="仿宋"/>
          <w:sz w:val="28"/>
        </w:rPr>
      </w:pPr>
      <w:r>
        <w:rPr>
          <w:rFonts w:hint="eastAsia" w:ascii="仿宋" w:hAnsi="仿宋" w:eastAsia="仿宋" w:cs="仿宋"/>
          <w:sz w:val="28"/>
        </w:rPr>
        <w:t>客户经理按照我行押品释放流程，将有关资料报所属分行核准通过后，到经办行营业部领取质物凭证，交还申请人并做好签收记录。</w:t>
      </w:r>
    </w:p>
    <w:p>
      <w:pPr>
        <w:snapToGrid w:val="0"/>
        <w:spacing w:line="480" w:lineRule="exact"/>
        <w:rPr>
          <w:rFonts w:hint="eastAsia" w:ascii="仿宋" w:hAnsi="仿宋" w:eastAsia="仿宋" w:cs="仿宋"/>
          <w:sz w:val="28"/>
        </w:rPr>
      </w:pPr>
    </w:p>
    <w:p>
      <w:pPr>
        <w:pStyle w:val="4"/>
        <w:spacing w:before="0" w:after="0" w:line="480" w:lineRule="exact"/>
        <w:jc w:val="center"/>
        <w:rPr>
          <w:rFonts w:hint="eastAsia" w:ascii="黑体" w:hAnsi="黑体"/>
          <w:b w:val="0"/>
          <w:sz w:val="28"/>
          <w:szCs w:val="28"/>
        </w:rPr>
      </w:pPr>
      <w:r>
        <w:rPr>
          <w:rFonts w:hint="eastAsia" w:ascii="黑体" w:hAnsi="黑体"/>
          <w:b w:val="0"/>
          <w:sz w:val="28"/>
          <w:szCs w:val="28"/>
        </w:rPr>
        <w:t>第四章  部门职责</w:t>
      </w:r>
    </w:p>
    <w:p>
      <w:pPr>
        <w:spacing w:line="480" w:lineRule="exact"/>
        <w:jc w:val="center"/>
        <w:rPr>
          <w:rFonts w:hint="eastAsia" w:ascii="仿宋_GB2312" w:hAnsi="宋体" w:eastAsia="仿宋_GB2312"/>
          <w:b/>
          <w:bCs/>
          <w:sz w:val="28"/>
          <w:szCs w:val="28"/>
        </w:rPr>
      </w:pPr>
    </w:p>
    <w:p>
      <w:pPr>
        <w:spacing w:line="480" w:lineRule="exact"/>
        <w:ind w:firstLine="562" w:firstLineChars="200"/>
        <w:rPr>
          <w:rFonts w:hint="eastAsia" w:ascii="仿宋" w:hAnsi="仿宋" w:eastAsia="仿宋" w:cs="仿宋"/>
          <w:bCs/>
          <w:sz w:val="28"/>
          <w:szCs w:val="28"/>
        </w:rPr>
      </w:pPr>
      <w:r>
        <w:rPr>
          <w:rFonts w:hint="eastAsia" w:ascii="仿宋" w:hAnsi="仿宋" w:eastAsia="仿宋" w:cs="仿宋"/>
          <w:b/>
          <w:bCs/>
          <w:sz w:val="28"/>
          <w:szCs w:val="28"/>
        </w:rPr>
        <w:t xml:space="preserve">第二十一条 </w:t>
      </w:r>
      <w:r>
        <w:rPr>
          <w:rFonts w:hint="eastAsia" w:ascii="仿宋" w:hAnsi="仿宋" w:eastAsia="仿宋" w:cs="仿宋"/>
          <w:bCs/>
          <w:sz w:val="28"/>
          <w:szCs w:val="28"/>
        </w:rPr>
        <w:t xml:space="preserve"> </w:t>
      </w:r>
      <w:r>
        <w:rPr>
          <w:rFonts w:hint="eastAsia" w:ascii="仿宋" w:hAnsi="仿宋" w:eastAsia="仿宋" w:cs="仿宋"/>
          <w:b/>
          <w:color w:val="000000"/>
          <w:sz w:val="28"/>
          <w:szCs w:val="28"/>
        </w:rPr>
        <w:t>总行公司业务部职责</w:t>
      </w:r>
    </w:p>
    <w:p>
      <w:pPr>
        <w:snapToGrid w:val="0"/>
        <w:spacing w:line="480" w:lineRule="exact"/>
        <w:ind w:firstLine="560" w:firstLineChars="200"/>
        <w:rPr>
          <w:rFonts w:hint="eastAsia" w:ascii="仿宋" w:hAnsi="仿宋" w:eastAsia="仿宋" w:cs="仿宋"/>
          <w:sz w:val="28"/>
          <w:szCs w:val="28"/>
          <w:lang w:eastAsia="zh-CN"/>
        </w:rPr>
      </w:pPr>
      <w:r>
        <w:rPr>
          <w:rFonts w:hint="eastAsia" w:ascii="仿宋" w:hAnsi="仿宋" w:eastAsia="仿宋" w:cs="仿宋"/>
          <w:sz w:val="28"/>
          <w:szCs w:val="28"/>
          <w:lang w:eastAsia="zh-CN"/>
        </w:rPr>
        <w:t>总行公司业务部主要履行以下职责：</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（一）负责牵头起草并持续维护</w:t>
      </w:r>
      <w:r>
        <w:rPr>
          <w:rFonts w:hint="eastAsia" w:ascii="仿宋" w:hAnsi="仿宋" w:eastAsia="仿宋" w:cs="仿宋"/>
          <w:bCs/>
          <w:sz w:val="28"/>
          <w:szCs w:val="28"/>
        </w:rPr>
        <w:t>公司客户封闭式非保本理财产品及理财产品质押授信业务的相关</w:t>
      </w:r>
      <w:r>
        <w:rPr>
          <w:rFonts w:hint="eastAsia" w:ascii="仿宋" w:hAnsi="仿宋" w:eastAsia="仿宋" w:cs="仿宋"/>
          <w:sz w:val="28"/>
          <w:szCs w:val="28"/>
        </w:rPr>
        <w:t>制度；</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（二）负责牵头组织</w:t>
      </w:r>
      <w:r>
        <w:rPr>
          <w:rFonts w:hint="eastAsia" w:ascii="仿宋" w:hAnsi="仿宋" w:eastAsia="仿宋" w:cs="仿宋"/>
          <w:bCs/>
          <w:sz w:val="28"/>
          <w:szCs w:val="28"/>
        </w:rPr>
        <w:t>公司客户封闭式非保本理财产品质押授信业务</w:t>
      </w:r>
      <w:r>
        <w:rPr>
          <w:rFonts w:hint="eastAsia" w:ascii="仿宋" w:hAnsi="仿宋" w:eastAsia="仿宋" w:cs="仿宋"/>
          <w:sz w:val="28"/>
          <w:szCs w:val="28"/>
        </w:rPr>
        <w:t>的产品设计和优化工作；</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（三）负责</w:t>
      </w:r>
      <w:r>
        <w:rPr>
          <w:rFonts w:hint="eastAsia" w:ascii="仿宋" w:hAnsi="仿宋" w:eastAsia="仿宋" w:cs="仿宋"/>
          <w:bCs/>
          <w:sz w:val="28"/>
          <w:szCs w:val="28"/>
        </w:rPr>
        <w:t>公司客户封闭式非保本理财产品质押授信业务</w:t>
      </w:r>
      <w:r>
        <w:rPr>
          <w:rFonts w:hint="eastAsia" w:ascii="仿宋" w:hAnsi="仿宋" w:eastAsia="仿宋" w:cs="仿宋"/>
          <w:sz w:val="28"/>
          <w:szCs w:val="28"/>
        </w:rPr>
        <w:t>的系统营销和组织推动工作；</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（四）负责全行</w:t>
      </w:r>
      <w:r>
        <w:rPr>
          <w:rFonts w:hint="eastAsia" w:ascii="仿宋" w:hAnsi="仿宋" w:eastAsia="仿宋" w:cs="仿宋"/>
          <w:bCs/>
          <w:sz w:val="28"/>
          <w:szCs w:val="28"/>
        </w:rPr>
        <w:t>公司客户封闭式非保本理财产品质押授信业务</w:t>
      </w:r>
      <w:r>
        <w:rPr>
          <w:rFonts w:hint="eastAsia" w:ascii="仿宋" w:hAnsi="仿宋" w:eastAsia="仿宋" w:cs="仿宋"/>
          <w:sz w:val="28"/>
          <w:szCs w:val="28"/>
        </w:rPr>
        <w:t>的培训、业务交流及指导工作；</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（五）负责权限内</w:t>
      </w:r>
      <w:r>
        <w:rPr>
          <w:rFonts w:hint="eastAsia" w:ascii="仿宋" w:hAnsi="仿宋" w:eastAsia="仿宋" w:cs="仿宋"/>
          <w:bCs/>
          <w:sz w:val="28"/>
          <w:szCs w:val="28"/>
        </w:rPr>
        <w:t>公司客户封闭式非保本理财产品质押授信业务</w:t>
      </w:r>
      <w:r>
        <w:rPr>
          <w:rFonts w:hint="eastAsia" w:ascii="仿宋" w:hAnsi="仿宋" w:eastAsia="仿宋" w:cs="仿宋"/>
          <w:sz w:val="28"/>
          <w:szCs w:val="28"/>
        </w:rPr>
        <w:t>贷后管理的督导和检查工作。</w:t>
      </w:r>
    </w:p>
    <w:p>
      <w:pPr>
        <w:snapToGrid w:val="0"/>
        <w:spacing w:line="480" w:lineRule="exact"/>
        <w:ind w:firstLine="562" w:firstLineChars="200"/>
        <w:rPr>
          <w:rFonts w:hint="eastAsia" w:ascii="仿宋" w:hAnsi="仿宋" w:eastAsia="仿宋" w:cs="仿宋"/>
          <w:b/>
          <w:sz w:val="28"/>
          <w:szCs w:val="28"/>
        </w:rPr>
      </w:pPr>
      <w:r>
        <w:rPr>
          <w:rFonts w:hint="eastAsia" w:ascii="仿宋" w:hAnsi="仿宋" w:eastAsia="仿宋" w:cs="仿宋"/>
          <w:b/>
          <w:sz w:val="28"/>
          <w:szCs w:val="28"/>
        </w:rPr>
        <w:t>第二十</w:t>
      </w:r>
      <w:r>
        <w:rPr>
          <w:rFonts w:hint="eastAsia" w:ascii="仿宋" w:hAnsi="仿宋" w:eastAsia="仿宋" w:cs="仿宋"/>
          <w:b/>
          <w:sz w:val="28"/>
          <w:szCs w:val="28"/>
          <w:lang w:eastAsia="zh-CN"/>
        </w:rPr>
        <w:t>二</w:t>
      </w:r>
      <w:r>
        <w:rPr>
          <w:rFonts w:hint="eastAsia" w:ascii="仿宋" w:hAnsi="仿宋" w:eastAsia="仿宋" w:cs="仿宋"/>
          <w:b/>
          <w:sz w:val="28"/>
          <w:szCs w:val="28"/>
        </w:rPr>
        <w:t>条  总行授信审批部</w:t>
      </w:r>
      <w:r>
        <w:rPr>
          <w:rFonts w:hint="eastAsia" w:ascii="仿宋" w:hAnsi="仿宋" w:eastAsia="仿宋" w:cs="仿宋"/>
          <w:b/>
          <w:color w:val="000000"/>
          <w:sz w:val="28"/>
          <w:szCs w:val="28"/>
        </w:rPr>
        <w:t>职责</w:t>
      </w:r>
    </w:p>
    <w:p>
      <w:pPr>
        <w:snapToGrid w:val="0"/>
        <w:spacing w:line="480" w:lineRule="exact"/>
        <w:ind w:firstLine="560" w:firstLineChars="200"/>
        <w:rPr>
          <w:rFonts w:hint="eastAsia" w:ascii="仿宋" w:hAnsi="仿宋" w:eastAsia="仿宋" w:cs="仿宋"/>
          <w:b/>
          <w:sz w:val="28"/>
          <w:szCs w:val="28"/>
        </w:rPr>
      </w:pPr>
      <w:r>
        <w:rPr>
          <w:rFonts w:hint="eastAsia" w:ascii="仿宋" w:hAnsi="仿宋" w:eastAsia="仿宋" w:cs="仿宋"/>
          <w:sz w:val="28"/>
          <w:szCs w:val="28"/>
        </w:rPr>
        <w:t>总行授信审批部负责对列入总行授信审批范围的</w:t>
      </w:r>
      <w:r>
        <w:rPr>
          <w:rFonts w:hint="eastAsia" w:ascii="仿宋" w:hAnsi="仿宋" w:eastAsia="仿宋" w:cs="仿宋"/>
          <w:bCs/>
          <w:sz w:val="28"/>
          <w:szCs w:val="28"/>
        </w:rPr>
        <w:t>公司客户封闭式非保本理财产品质押授信业务</w:t>
      </w:r>
      <w:r>
        <w:rPr>
          <w:rFonts w:hint="eastAsia" w:ascii="仿宋" w:hAnsi="仿宋" w:eastAsia="仿宋" w:cs="仿宋"/>
          <w:sz w:val="28"/>
          <w:szCs w:val="28"/>
        </w:rPr>
        <w:t>开展授信审批。</w:t>
      </w:r>
    </w:p>
    <w:p>
      <w:pPr>
        <w:snapToGrid w:val="0"/>
        <w:spacing w:line="480" w:lineRule="exact"/>
        <w:ind w:firstLine="562" w:firstLineChars="200"/>
        <w:rPr>
          <w:rFonts w:hint="eastAsia" w:ascii="仿宋" w:hAnsi="仿宋" w:eastAsia="仿宋" w:cs="仿宋"/>
          <w:b/>
          <w:bCs/>
          <w:sz w:val="28"/>
          <w:szCs w:val="28"/>
        </w:rPr>
      </w:pPr>
      <w:r>
        <w:rPr>
          <w:rFonts w:hint="eastAsia" w:ascii="仿宋" w:hAnsi="仿宋" w:eastAsia="仿宋" w:cs="仿宋"/>
          <w:b/>
          <w:bCs/>
          <w:sz w:val="28"/>
          <w:szCs w:val="28"/>
        </w:rPr>
        <w:t>第</w:t>
      </w:r>
      <w:r>
        <w:rPr>
          <w:rFonts w:hint="eastAsia" w:ascii="仿宋" w:hAnsi="仿宋" w:eastAsia="仿宋" w:cs="仿宋"/>
          <w:b/>
          <w:sz w:val="28"/>
          <w:szCs w:val="28"/>
        </w:rPr>
        <w:t>二十</w:t>
      </w:r>
      <w:r>
        <w:rPr>
          <w:rFonts w:hint="eastAsia" w:ascii="仿宋" w:hAnsi="仿宋" w:eastAsia="仿宋" w:cs="仿宋"/>
          <w:b/>
          <w:sz w:val="28"/>
          <w:szCs w:val="28"/>
          <w:lang w:eastAsia="zh-CN"/>
        </w:rPr>
        <w:t>三</w:t>
      </w:r>
      <w:r>
        <w:rPr>
          <w:rFonts w:hint="eastAsia" w:ascii="仿宋" w:hAnsi="仿宋" w:eastAsia="仿宋" w:cs="仿宋"/>
          <w:b/>
          <w:bCs/>
          <w:sz w:val="28"/>
          <w:szCs w:val="28"/>
        </w:rPr>
        <w:t>条  总行国际业务部职责</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总行国际业务部负责起草并持续维护公司客户外汇理财产品</w:t>
      </w:r>
      <w:r>
        <w:rPr>
          <w:rFonts w:hint="eastAsia" w:ascii="仿宋" w:hAnsi="仿宋" w:eastAsia="仿宋" w:cs="仿宋"/>
          <w:bCs/>
          <w:sz w:val="28"/>
          <w:szCs w:val="28"/>
        </w:rPr>
        <w:t>相关管理制度，受理并解答</w:t>
      </w:r>
      <w:r>
        <w:rPr>
          <w:rFonts w:hint="eastAsia" w:ascii="仿宋" w:hAnsi="仿宋" w:eastAsia="仿宋" w:cs="仿宋"/>
          <w:sz w:val="28"/>
          <w:szCs w:val="28"/>
        </w:rPr>
        <w:t>公司客户外汇理财产品的相关问题</w:t>
      </w:r>
      <w:r>
        <w:rPr>
          <w:rFonts w:hint="eastAsia" w:ascii="仿宋" w:hAnsi="仿宋" w:eastAsia="仿宋" w:cs="仿宋"/>
          <w:bCs/>
          <w:sz w:val="28"/>
          <w:szCs w:val="28"/>
        </w:rPr>
        <w:t>。</w:t>
      </w:r>
    </w:p>
    <w:p>
      <w:pPr>
        <w:snapToGrid w:val="0"/>
        <w:spacing w:line="480" w:lineRule="exact"/>
        <w:ind w:firstLine="562" w:firstLineChars="200"/>
        <w:outlineLvl w:val="0"/>
        <w:rPr>
          <w:rFonts w:hint="eastAsia" w:ascii="仿宋" w:hAnsi="仿宋" w:eastAsia="仿宋" w:cs="仿宋"/>
          <w:b/>
          <w:sz w:val="28"/>
          <w:szCs w:val="28"/>
        </w:rPr>
      </w:pPr>
      <w:r>
        <w:rPr>
          <w:rFonts w:hint="eastAsia" w:ascii="仿宋" w:hAnsi="仿宋" w:eastAsia="仿宋" w:cs="仿宋"/>
          <w:b/>
          <w:sz w:val="28"/>
          <w:szCs w:val="28"/>
        </w:rPr>
        <w:t>第二十</w:t>
      </w:r>
      <w:r>
        <w:rPr>
          <w:rFonts w:hint="eastAsia" w:ascii="仿宋" w:hAnsi="仿宋" w:eastAsia="仿宋" w:cs="仿宋"/>
          <w:b/>
          <w:sz w:val="28"/>
          <w:szCs w:val="28"/>
          <w:lang w:eastAsia="zh-CN"/>
        </w:rPr>
        <w:t>四</w:t>
      </w:r>
      <w:r>
        <w:rPr>
          <w:rFonts w:hint="eastAsia" w:ascii="仿宋" w:hAnsi="仿宋" w:eastAsia="仿宋" w:cs="仿宋"/>
          <w:b/>
          <w:sz w:val="28"/>
          <w:szCs w:val="28"/>
        </w:rPr>
        <w:t>条</w:t>
      </w:r>
      <w:r>
        <w:rPr>
          <w:rFonts w:hint="eastAsia" w:ascii="仿宋" w:hAnsi="仿宋" w:eastAsia="仿宋" w:cs="仿宋"/>
          <w:sz w:val="28"/>
          <w:szCs w:val="28"/>
        </w:rPr>
        <w:t xml:space="preserve">  </w:t>
      </w:r>
      <w:r>
        <w:rPr>
          <w:rFonts w:hint="eastAsia" w:ascii="仿宋" w:hAnsi="仿宋" w:eastAsia="仿宋" w:cs="仿宋"/>
          <w:b/>
          <w:sz w:val="28"/>
          <w:szCs w:val="28"/>
        </w:rPr>
        <w:t>总行计划财务部职责</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总行计划财务部负责</w:t>
      </w:r>
      <w:r>
        <w:rPr>
          <w:rFonts w:hint="eastAsia" w:ascii="仿宋" w:hAnsi="仿宋" w:eastAsia="仿宋" w:cs="仿宋"/>
          <w:i w:val="0"/>
          <w:iCs w:val="0"/>
          <w:caps w:val="0"/>
          <w:color w:val="auto"/>
          <w:spacing w:val="0"/>
          <w:sz w:val="28"/>
          <w:szCs w:val="28"/>
          <w:shd w:val="clear" w:fill="auto"/>
        </w:rPr>
        <w:t>明确公司客户封闭式非保本理财产品质押授信业务会计核算规则</w:t>
      </w:r>
      <w:r>
        <w:rPr>
          <w:rFonts w:hint="eastAsia" w:ascii="仿宋" w:hAnsi="仿宋" w:eastAsia="仿宋" w:cs="仿宋"/>
          <w:sz w:val="28"/>
          <w:szCs w:val="28"/>
        </w:rPr>
        <w:t>。</w:t>
      </w:r>
    </w:p>
    <w:p>
      <w:pPr>
        <w:snapToGrid w:val="0"/>
        <w:spacing w:line="480" w:lineRule="exact"/>
        <w:ind w:firstLine="562" w:firstLineChars="200"/>
        <w:outlineLvl w:val="0"/>
        <w:rPr>
          <w:rFonts w:hint="eastAsia" w:ascii="仿宋" w:hAnsi="仿宋" w:eastAsia="仿宋" w:cs="仿宋"/>
          <w:b/>
          <w:sz w:val="28"/>
          <w:szCs w:val="28"/>
        </w:rPr>
      </w:pPr>
      <w:r>
        <w:rPr>
          <w:rFonts w:hint="eastAsia" w:ascii="仿宋" w:hAnsi="仿宋" w:eastAsia="仿宋" w:cs="仿宋"/>
          <w:b/>
          <w:sz w:val="28"/>
          <w:szCs w:val="28"/>
        </w:rPr>
        <w:t>第二十</w:t>
      </w:r>
      <w:r>
        <w:rPr>
          <w:rFonts w:hint="eastAsia" w:ascii="仿宋" w:hAnsi="仿宋" w:eastAsia="仿宋" w:cs="仿宋"/>
          <w:b/>
          <w:sz w:val="28"/>
          <w:szCs w:val="28"/>
          <w:lang w:eastAsia="zh-CN"/>
        </w:rPr>
        <w:t>五</w:t>
      </w:r>
      <w:r>
        <w:rPr>
          <w:rFonts w:hint="eastAsia" w:ascii="仿宋" w:hAnsi="仿宋" w:eastAsia="仿宋" w:cs="仿宋"/>
          <w:b/>
          <w:sz w:val="28"/>
          <w:szCs w:val="28"/>
        </w:rPr>
        <w:t>条  各经营单位职责</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lang w:eastAsia="zh-CN"/>
        </w:rPr>
        <w:t>各经营单位主要履行以下职责：</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（一）负责贯彻落实总行有关</w:t>
      </w:r>
      <w:r>
        <w:rPr>
          <w:rFonts w:hint="eastAsia" w:ascii="仿宋" w:hAnsi="仿宋" w:eastAsia="仿宋" w:cs="仿宋"/>
          <w:bCs/>
          <w:sz w:val="28"/>
          <w:szCs w:val="28"/>
        </w:rPr>
        <w:t>公司客户封闭式非保本理财产品质押授信业务</w:t>
      </w:r>
      <w:r>
        <w:rPr>
          <w:rFonts w:hint="eastAsia" w:ascii="仿宋" w:hAnsi="仿宋" w:eastAsia="仿宋" w:cs="仿宋"/>
          <w:sz w:val="28"/>
          <w:szCs w:val="28"/>
        </w:rPr>
        <w:t>的政策和规章制度；</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（二）负责辖属经办行</w:t>
      </w:r>
      <w:r>
        <w:rPr>
          <w:rFonts w:hint="eastAsia" w:ascii="仿宋" w:hAnsi="仿宋" w:eastAsia="仿宋" w:cs="仿宋"/>
          <w:bCs/>
          <w:sz w:val="28"/>
          <w:szCs w:val="28"/>
        </w:rPr>
        <w:t>公司客户封闭式非保本理财产品质押授信业务</w:t>
      </w:r>
      <w:r>
        <w:rPr>
          <w:rFonts w:hint="eastAsia" w:ascii="仿宋" w:hAnsi="仿宋" w:eastAsia="仿宋" w:cs="仿宋"/>
          <w:sz w:val="28"/>
          <w:szCs w:val="28"/>
        </w:rPr>
        <w:t>的整体营销推动和业务管理等工作；</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（三）负责权限内</w:t>
      </w:r>
      <w:r>
        <w:rPr>
          <w:rFonts w:hint="eastAsia" w:ascii="仿宋" w:hAnsi="仿宋" w:eastAsia="仿宋" w:cs="仿宋"/>
          <w:bCs/>
          <w:sz w:val="28"/>
          <w:szCs w:val="28"/>
        </w:rPr>
        <w:t>公司客户封闭式非保本理财产品质押授信业务</w:t>
      </w:r>
      <w:r>
        <w:rPr>
          <w:rFonts w:hint="eastAsia" w:ascii="仿宋" w:hAnsi="仿宋" w:eastAsia="仿宋" w:cs="仿宋"/>
          <w:sz w:val="28"/>
          <w:szCs w:val="28"/>
        </w:rPr>
        <w:t>的审批、贷后管理的督导和检查工作；</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（四）负责对辖属各经办行</w:t>
      </w:r>
      <w:r>
        <w:rPr>
          <w:rFonts w:hint="eastAsia" w:ascii="仿宋" w:hAnsi="仿宋" w:eastAsia="仿宋" w:cs="仿宋"/>
          <w:bCs/>
          <w:sz w:val="28"/>
          <w:szCs w:val="28"/>
        </w:rPr>
        <w:t>公司客户封闭式非保本理财产品质押授信业务</w:t>
      </w:r>
      <w:r>
        <w:rPr>
          <w:rFonts w:hint="eastAsia" w:ascii="仿宋" w:hAnsi="仿宋" w:eastAsia="仿宋" w:cs="仿宋"/>
          <w:sz w:val="28"/>
          <w:szCs w:val="28"/>
        </w:rPr>
        <w:t>的开展情况进行监督检查，按要求上报总行公司业务部；</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（五）负责辖属各经办行</w:t>
      </w:r>
      <w:r>
        <w:rPr>
          <w:rFonts w:hint="eastAsia" w:ascii="仿宋" w:hAnsi="仿宋" w:eastAsia="仿宋" w:cs="仿宋"/>
          <w:bCs/>
          <w:sz w:val="28"/>
          <w:szCs w:val="28"/>
        </w:rPr>
        <w:t>公司客户封闭式非保本理财产品质押授信业务</w:t>
      </w:r>
      <w:r>
        <w:rPr>
          <w:rFonts w:hint="eastAsia" w:ascii="仿宋" w:hAnsi="仿宋" w:eastAsia="仿宋" w:cs="仿宋"/>
          <w:sz w:val="28"/>
          <w:szCs w:val="28"/>
        </w:rPr>
        <w:t>风险的直接管理。</w:t>
      </w:r>
    </w:p>
    <w:p>
      <w:pPr>
        <w:snapToGrid w:val="0"/>
        <w:spacing w:line="480" w:lineRule="exact"/>
        <w:ind w:firstLine="562" w:firstLineChars="200"/>
        <w:outlineLvl w:val="0"/>
        <w:rPr>
          <w:rFonts w:hint="eastAsia" w:ascii="仿宋" w:hAnsi="仿宋" w:eastAsia="仿宋" w:cs="仿宋"/>
          <w:b/>
          <w:sz w:val="28"/>
          <w:szCs w:val="28"/>
        </w:rPr>
      </w:pPr>
      <w:r>
        <w:rPr>
          <w:rFonts w:hint="eastAsia" w:ascii="仿宋" w:hAnsi="仿宋" w:eastAsia="仿宋" w:cs="仿宋"/>
          <w:b/>
          <w:sz w:val="28"/>
          <w:szCs w:val="28"/>
        </w:rPr>
        <w:t>第二十</w:t>
      </w:r>
      <w:r>
        <w:rPr>
          <w:rFonts w:hint="eastAsia" w:ascii="仿宋" w:hAnsi="仿宋" w:eastAsia="仿宋" w:cs="仿宋"/>
          <w:b/>
          <w:sz w:val="28"/>
          <w:szCs w:val="28"/>
          <w:lang w:val="en-US" w:eastAsia="zh-CN"/>
        </w:rPr>
        <w:t>六</w:t>
      </w:r>
      <w:r>
        <w:rPr>
          <w:rFonts w:hint="eastAsia" w:ascii="仿宋" w:hAnsi="仿宋" w:eastAsia="仿宋" w:cs="仿宋"/>
          <w:b/>
          <w:sz w:val="28"/>
          <w:szCs w:val="28"/>
        </w:rPr>
        <w:t>条  各经办行职责</w:t>
      </w:r>
    </w:p>
    <w:p>
      <w:pPr>
        <w:snapToGrid w:val="0"/>
        <w:spacing w:line="480" w:lineRule="exact"/>
        <w:ind w:firstLine="560" w:firstLineChars="200"/>
        <w:rPr>
          <w:rFonts w:hint="eastAsia" w:ascii="仿宋" w:hAnsi="仿宋" w:eastAsia="仿宋" w:cs="仿宋"/>
          <w:bCs/>
          <w:sz w:val="28"/>
          <w:szCs w:val="28"/>
        </w:rPr>
      </w:pPr>
      <w:r>
        <w:rPr>
          <w:rFonts w:hint="eastAsia" w:ascii="仿宋" w:hAnsi="仿宋" w:eastAsia="仿宋" w:cs="仿宋"/>
          <w:sz w:val="28"/>
          <w:szCs w:val="28"/>
        </w:rPr>
        <w:t>经办行负责依据操作规程及核算制度开展公司客户封闭式非保本理财产品质押授信业务的营销、客户维护、需求上报、账户开立、签约、贷后管理等工作。</w:t>
      </w:r>
    </w:p>
    <w:p>
      <w:pPr>
        <w:snapToGrid w:val="0"/>
        <w:spacing w:line="480" w:lineRule="exact"/>
        <w:rPr>
          <w:rFonts w:ascii="仿宋_GB2312" w:hAnsi="Garamond" w:eastAsia="仿宋_GB2312"/>
          <w:sz w:val="28"/>
          <w:szCs w:val="28"/>
        </w:rPr>
      </w:pPr>
    </w:p>
    <w:p>
      <w:pPr>
        <w:snapToGrid w:val="0"/>
        <w:spacing w:line="480" w:lineRule="exact"/>
        <w:jc w:val="center"/>
        <w:outlineLvl w:val="0"/>
        <w:rPr>
          <w:rFonts w:hint="eastAsia" w:ascii="黑体" w:hAnsi="Garamond" w:eastAsia="黑体"/>
          <w:bCs/>
          <w:sz w:val="28"/>
          <w:szCs w:val="28"/>
        </w:rPr>
      </w:pPr>
      <w:r>
        <w:rPr>
          <w:rFonts w:hint="eastAsia" w:ascii="黑体" w:hAnsi="Garamond" w:eastAsia="黑体" w:cs="仿宋_GB2312"/>
          <w:bCs/>
          <w:sz w:val="28"/>
          <w:szCs w:val="28"/>
        </w:rPr>
        <w:t>第五章  附  则</w:t>
      </w:r>
    </w:p>
    <w:p>
      <w:pPr>
        <w:snapToGrid w:val="0"/>
        <w:spacing w:line="480" w:lineRule="exact"/>
        <w:rPr>
          <w:rFonts w:ascii="仿宋_GB2312" w:hAnsi="Garamond" w:eastAsia="仿宋_GB2312"/>
          <w:sz w:val="28"/>
          <w:szCs w:val="28"/>
        </w:rPr>
      </w:pP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第二十</w:t>
      </w:r>
      <w:r>
        <w:rPr>
          <w:rFonts w:hint="eastAsia" w:ascii="仿宋" w:hAnsi="仿宋" w:eastAsia="仿宋" w:cs="仿宋"/>
          <w:b/>
          <w:bCs/>
          <w:sz w:val="28"/>
          <w:szCs w:val="28"/>
          <w:lang w:val="en-US" w:eastAsia="zh-CN"/>
        </w:rPr>
        <w:t>七</w:t>
      </w:r>
      <w:r>
        <w:rPr>
          <w:rFonts w:hint="eastAsia" w:ascii="仿宋" w:hAnsi="仿宋" w:eastAsia="仿宋" w:cs="仿宋"/>
          <w:b/>
          <w:bCs/>
          <w:sz w:val="28"/>
          <w:szCs w:val="28"/>
        </w:rPr>
        <w:t>条  反洗钱工作</w:t>
      </w:r>
    </w:p>
    <w:p>
      <w:pPr>
        <w:numPr>
          <w:ilvl w:val="255"/>
          <w:numId w:val="0"/>
        </w:numPr>
        <w:tabs>
          <w:tab w:val="left" w:pos="14"/>
        </w:tabs>
        <w:spacing w:line="480" w:lineRule="exac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各经营单位在开展业务时，应严格按照我行反洗钱各项内控制度，以及《关于进一步做好公</w:t>
      </w:r>
      <w:bookmarkStart w:id="1" w:name="_GoBack"/>
      <w:bookmarkEnd w:id="1"/>
      <w:r>
        <w:rPr>
          <w:rFonts w:hint="eastAsia" w:ascii="仿宋" w:hAnsi="仿宋" w:eastAsia="仿宋" w:cs="仿宋"/>
          <w:sz w:val="28"/>
          <w:szCs w:val="28"/>
          <w:lang w:val="en-US" w:eastAsia="zh-CN"/>
        </w:rPr>
        <w:t>司业务洗钱和恐怖融资风险管理工作的通知》（上银公〔2023〕11号）、《</w:t>
      </w:r>
      <w:r>
        <w:rPr>
          <w:rFonts w:hint="eastAsia" w:ascii="仿宋" w:hAnsi="仿宋" w:eastAsia="仿宋" w:cs="仿宋"/>
          <w:i w:val="0"/>
          <w:iCs w:val="0"/>
          <w:caps w:val="0"/>
          <w:color w:val="auto"/>
          <w:spacing w:val="0"/>
          <w:sz w:val="28"/>
          <w:szCs w:val="28"/>
          <w:shd w:val="clear" w:fill="auto"/>
        </w:rPr>
        <w:t>上海银行跨境业务洗钱和恐怖融资风险管理规程</w:t>
      </w:r>
      <w:r>
        <w:rPr>
          <w:rFonts w:hint="eastAsia" w:ascii="仿宋" w:hAnsi="仿宋" w:eastAsia="仿宋" w:cs="仿宋"/>
          <w:sz w:val="28"/>
          <w:szCs w:val="28"/>
          <w:lang w:val="en-US" w:eastAsia="zh-CN"/>
        </w:rPr>
        <w:t>》（上银办〔2025〕110号）及其修订文件等规定要求，认真开展客户身份识别与尽职调查、客户身份资料及交易记录保存、客户洗钱风险评估与分类管理、反洗钱和反恐怖融资名单监控等工作，切实履行反洗钱法定义务，有效防范洗钱风险。原则上不得为我行洗钱风险等级为较高风险的客户办理业务，如存在特殊情况的，应在强化尽职调查的基础上采取合理有效的风险控制措施，填报并留存客户加强型尽职调查报告及相关材料，经经营单位反洗钱工作领导小组审批后执行。对于洗钱风险等级为高风险的借款人，应拒绝业务申请。</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w:t>
      </w:r>
      <w:r>
        <w:rPr>
          <w:rFonts w:hint="eastAsia" w:ascii="仿宋" w:hAnsi="仿宋" w:eastAsia="仿宋" w:cs="仿宋"/>
          <w:b/>
          <w:bCs/>
          <w:sz w:val="28"/>
          <w:szCs w:val="28"/>
          <w:lang w:val="en-US" w:eastAsia="zh-CN"/>
        </w:rPr>
        <w:t>二</w:t>
      </w:r>
      <w:r>
        <w:rPr>
          <w:rFonts w:hint="eastAsia" w:ascii="仿宋" w:hAnsi="仿宋" w:eastAsia="仿宋" w:cs="仿宋"/>
          <w:b/>
          <w:bCs/>
          <w:sz w:val="28"/>
          <w:szCs w:val="28"/>
        </w:rPr>
        <w:t>十</w:t>
      </w:r>
      <w:r>
        <w:rPr>
          <w:rFonts w:hint="eastAsia" w:ascii="仿宋" w:hAnsi="仿宋" w:eastAsia="仿宋" w:cs="仿宋"/>
          <w:b/>
          <w:bCs/>
          <w:sz w:val="28"/>
          <w:szCs w:val="28"/>
          <w:lang w:val="en-US" w:eastAsia="zh-CN"/>
        </w:rPr>
        <w:t>八</w:t>
      </w:r>
      <w:r>
        <w:rPr>
          <w:rFonts w:hint="eastAsia" w:ascii="仿宋" w:hAnsi="仿宋" w:eastAsia="仿宋" w:cs="仿宋"/>
          <w:b/>
          <w:bCs/>
          <w:sz w:val="28"/>
          <w:szCs w:val="28"/>
        </w:rPr>
        <w:t xml:space="preserve">条  </w:t>
      </w:r>
      <w:r>
        <w:rPr>
          <w:rFonts w:hint="eastAsia" w:ascii="仿宋" w:hAnsi="仿宋" w:eastAsia="仿宋" w:cs="仿宋"/>
          <w:b/>
          <w:bCs/>
          <w:sz w:val="28"/>
          <w:szCs w:val="28"/>
          <w:lang w:val="en-US" w:eastAsia="zh-CN"/>
        </w:rPr>
        <w:t>反商业贿赂</w:t>
      </w:r>
    </w:p>
    <w:p>
      <w:pPr>
        <w:snapToGrid w:val="0"/>
        <w:spacing w:line="480" w:lineRule="exact"/>
        <w:ind w:firstLine="560" w:firstLineChars="200"/>
      </w:pPr>
      <w:r>
        <w:rPr>
          <w:rFonts w:hint="eastAsia" w:ascii="仿宋" w:hAnsi="仿宋" w:eastAsia="仿宋" w:cs="仿宋"/>
          <w:sz w:val="28"/>
          <w:szCs w:val="28"/>
        </w:rPr>
        <w:t>各经办行在开展理财产品质押授信业务时，应自觉抵制和防范商业贿赂并自觉遵守相关的规章制度。</w:t>
      </w:r>
    </w:p>
    <w:p>
      <w:pPr>
        <w:snapToGrid w:val="0"/>
        <w:spacing w:line="480" w:lineRule="exact"/>
        <w:ind w:firstLine="562" w:firstLineChars="200"/>
        <w:rPr>
          <w:rFonts w:hint="eastAsia"/>
        </w:rPr>
      </w:pPr>
      <w:r>
        <w:rPr>
          <w:rFonts w:hint="eastAsia" w:ascii="仿宋" w:hAnsi="仿宋" w:eastAsia="仿宋" w:cs="仿宋"/>
          <w:b/>
          <w:bCs/>
          <w:sz w:val="28"/>
          <w:szCs w:val="28"/>
        </w:rPr>
        <w:t>第</w:t>
      </w:r>
      <w:r>
        <w:rPr>
          <w:rFonts w:hint="eastAsia" w:ascii="仿宋" w:hAnsi="仿宋" w:eastAsia="仿宋" w:cs="仿宋"/>
          <w:b/>
          <w:bCs/>
          <w:sz w:val="28"/>
          <w:szCs w:val="28"/>
          <w:lang w:eastAsia="zh-CN"/>
        </w:rPr>
        <w:t>二十九</w:t>
      </w:r>
      <w:r>
        <w:rPr>
          <w:rFonts w:hint="eastAsia" w:ascii="仿宋" w:hAnsi="仿宋" w:eastAsia="仿宋" w:cs="仿宋"/>
          <w:b/>
          <w:bCs/>
          <w:sz w:val="28"/>
          <w:szCs w:val="28"/>
        </w:rPr>
        <w:t>条</w:t>
      </w:r>
      <w:r>
        <w:rPr>
          <w:rFonts w:hint="eastAsia" w:ascii="仿宋" w:hAnsi="仿宋" w:eastAsia="仿宋" w:cs="仿宋"/>
          <w:b/>
          <w:bCs/>
          <w:sz w:val="28"/>
          <w:szCs w:val="28"/>
          <w:lang w:val="en-US" w:eastAsia="zh-CN"/>
        </w:rPr>
        <w:t xml:space="preserve">  </w:t>
      </w:r>
      <w:r>
        <w:rPr>
          <w:rFonts w:hint="eastAsia" w:ascii="仿宋" w:hAnsi="仿宋" w:eastAsia="仿宋" w:cs="仿宋"/>
          <w:b/>
          <w:bCs/>
          <w:sz w:val="28"/>
          <w:szCs w:val="28"/>
        </w:rPr>
        <w:t>责任追究</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对于违反监管规定或本规程的相关违规问题责任人，应按照我行相关制度进行责任追究，包括问责、违规积分、条线限制性或约束性措施等；符合问责发起标准的，应根据违规情节和危害后果对责任人开展问责。</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第三十条  解释部门</w:t>
      </w:r>
    </w:p>
    <w:p>
      <w:pPr>
        <w:snapToGrid w:val="0"/>
        <w:spacing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本规程由总行公司业务部负责解释。</w:t>
      </w:r>
    </w:p>
    <w:p>
      <w:pPr>
        <w:snapToGrid w:val="0"/>
        <w:spacing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第三十</w:t>
      </w:r>
      <w:r>
        <w:rPr>
          <w:rFonts w:hint="eastAsia" w:ascii="仿宋" w:hAnsi="仿宋" w:eastAsia="仿宋" w:cs="仿宋"/>
          <w:b/>
          <w:bCs/>
          <w:sz w:val="28"/>
          <w:szCs w:val="28"/>
          <w:lang w:eastAsia="zh-CN"/>
        </w:rPr>
        <w:t>一</w:t>
      </w:r>
      <w:r>
        <w:rPr>
          <w:rFonts w:hint="eastAsia" w:ascii="仿宋" w:hAnsi="仿宋" w:eastAsia="仿宋" w:cs="仿宋"/>
          <w:b/>
          <w:bCs/>
          <w:sz w:val="28"/>
          <w:szCs w:val="28"/>
        </w:rPr>
        <w:t>条  生效施行</w:t>
      </w:r>
    </w:p>
    <w:p>
      <w:pPr>
        <w:spacing w:line="480" w:lineRule="exact"/>
        <w:ind w:firstLine="560" w:firstLineChars="200"/>
        <w:rPr>
          <w:rFonts w:hint="default" w:ascii="仿宋" w:hAnsi="仿宋" w:eastAsia="仿宋" w:cs="仿宋"/>
          <w:sz w:val="28"/>
          <w:szCs w:val="28"/>
          <w:lang w:val="en-US" w:eastAsia="zh-CN"/>
        </w:rPr>
      </w:pPr>
      <w:r>
        <w:rPr>
          <w:rFonts w:hint="eastAsia" w:ascii="仿宋" w:hAnsi="仿宋" w:eastAsia="仿宋" w:cs="仿宋"/>
          <w:sz w:val="28"/>
          <w:szCs w:val="28"/>
        </w:rPr>
        <w:t>本规程自印发之日起施行。</w:t>
      </w:r>
      <w:r>
        <w:rPr>
          <w:rFonts w:hint="eastAsia" w:ascii="仿宋" w:hAnsi="仿宋" w:eastAsia="仿宋" w:cs="仿宋"/>
          <w:sz w:val="28"/>
          <w:szCs w:val="28"/>
          <w:lang w:val="en-US" w:eastAsia="zh-CN"/>
        </w:rPr>
        <w:t>《</w:t>
      </w:r>
      <w:r>
        <w:rPr>
          <w:rFonts w:hint="eastAsia" w:ascii="仿宋" w:hAnsi="仿宋" w:eastAsia="仿宋" w:cs="仿宋"/>
          <w:sz w:val="28"/>
          <w:szCs w:val="28"/>
        </w:rPr>
        <w:t>上海银行公司客户封闭式非保本理财产品质押授信业务操作规程（202</w:t>
      </w:r>
      <w:r>
        <w:rPr>
          <w:rFonts w:hint="eastAsia" w:ascii="仿宋" w:hAnsi="仿宋" w:eastAsia="仿宋" w:cs="仿宋"/>
          <w:sz w:val="28"/>
          <w:szCs w:val="28"/>
          <w:lang w:val="en-US" w:eastAsia="zh-CN"/>
        </w:rPr>
        <w:t>4</w:t>
      </w:r>
      <w:r>
        <w:rPr>
          <w:rFonts w:hint="eastAsia" w:ascii="仿宋" w:hAnsi="仿宋" w:eastAsia="仿宋" w:cs="仿宋"/>
          <w:sz w:val="28"/>
          <w:szCs w:val="28"/>
        </w:rPr>
        <w:t>年版）</w:t>
      </w:r>
      <w:r>
        <w:rPr>
          <w:rFonts w:hint="eastAsia" w:ascii="仿宋" w:hAnsi="仿宋" w:eastAsia="仿宋" w:cs="仿宋"/>
          <w:sz w:val="28"/>
          <w:szCs w:val="28"/>
          <w:lang w:val="en-US" w:eastAsia="zh-CN"/>
        </w:rPr>
        <w:t>》（上银办〔2024〕216号）同时废止。</w:t>
      </w:r>
    </w:p>
    <w:p>
      <w:pPr>
        <w:snapToGrid w:val="0"/>
        <w:spacing w:line="480" w:lineRule="exact"/>
        <w:rPr>
          <w:rFonts w:hint="eastAsia" w:ascii="仿宋" w:hAnsi="仿宋" w:eastAsia="仿宋" w:cs="仿宋"/>
          <w:sz w:val="28"/>
          <w:szCs w:val="28"/>
        </w:rPr>
      </w:pPr>
    </w:p>
    <w:p>
      <w:pPr>
        <w:snapToGrid w:val="0"/>
        <w:spacing w:line="480" w:lineRule="exact"/>
        <w:ind w:firstLine="555"/>
        <w:rPr>
          <w:rFonts w:hint="eastAsia" w:ascii="仿宋" w:hAnsi="仿宋" w:eastAsia="仿宋" w:cs="仿宋"/>
          <w:sz w:val="28"/>
          <w:szCs w:val="28"/>
        </w:rPr>
      </w:pPr>
      <w:r>
        <w:rPr>
          <w:rFonts w:hint="eastAsia" w:ascii="仿宋" w:hAnsi="仿宋" w:eastAsia="仿宋" w:cs="仿宋"/>
          <w:sz w:val="28"/>
          <w:szCs w:val="28"/>
        </w:rPr>
        <w:t>附件：1-1.</w:t>
      </w:r>
      <w:r>
        <w:rPr>
          <w:rFonts w:hint="eastAsia" w:ascii="仿宋" w:hAnsi="仿宋" w:eastAsia="仿宋" w:cs="仿宋"/>
          <w:spacing w:val="-4"/>
          <w:sz w:val="28"/>
          <w:szCs w:val="28"/>
        </w:rPr>
        <w:t>公司客户封闭式非保本理财产品质押授信业务受理申请书</w:t>
      </w:r>
    </w:p>
    <w:p>
      <w:pPr>
        <w:snapToGrid w:val="0"/>
        <w:spacing w:line="480" w:lineRule="exact"/>
        <w:ind w:firstLine="555"/>
        <w:rPr>
          <w:rFonts w:hint="eastAsia" w:ascii="仿宋" w:hAnsi="仿宋" w:eastAsia="仿宋" w:cs="仿宋"/>
          <w:sz w:val="28"/>
          <w:szCs w:val="28"/>
        </w:rPr>
      </w:pPr>
      <w:r>
        <w:rPr>
          <w:rFonts w:hint="eastAsia" w:ascii="仿宋" w:hAnsi="仿宋" w:eastAsia="仿宋" w:cs="仿宋"/>
          <w:sz w:val="28"/>
          <w:szCs w:val="28"/>
        </w:rPr>
        <w:t xml:space="preserve">      1-2.最高额质押合同（适用于单位理财产品质押）</w:t>
      </w:r>
    </w:p>
    <w:p>
      <w:pPr>
        <w:snapToGrid w:val="0"/>
        <w:spacing w:line="480" w:lineRule="exact"/>
        <w:ind w:firstLine="555"/>
        <w:rPr>
          <w:rFonts w:hint="eastAsia" w:ascii="仿宋" w:hAnsi="仿宋" w:eastAsia="仿宋" w:cs="仿宋"/>
          <w:sz w:val="28"/>
          <w:szCs w:val="28"/>
        </w:rPr>
      </w:pPr>
      <w:r>
        <w:rPr>
          <w:rFonts w:hint="eastAsia" w:ascii="仿宋" w:hAnsi="仿宋" w:eastAsia="仿宋" w:cs="仿宋"/>
          <w:sz w:val="28"/>
          <w:szCs w:val="28"/>
        </w:rPr>
        <w:t xml:space="preserve">      1-3.公司客户封闭式非保本理财产品质押提款申请书</w:t>
      </w:r>
    </w:p>
    <w:p>
      <w:pPr>
        <w:snapToGrid w:val="0"/>
        <w:spacing w:line="480" w:lineRule="exact"/>
        <w:ind w:firstLine="0"/>
        <w:rPr>
          <w:rFonts w:hint="eastAsia"/>
        </w:rPr>
      </w:pPr>
    </w:p>
    <w:sectPr>
      <w:footerReference r:id="rId3" w:type="default"/>
      <w:pgSz w:w="11907" w:h="16840"/>
      <w:pgMar w:top="1587" w:right="1474" w:bottom="1247" w:left="1417" w:header="851" w:footer="992" w:gutter="0"/>
      <w:paperSrc/>
      <w:cols w:space="0" w:num="1"/>
      <w:rtlGutter w:val="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Garamond">
    <w:panose1 w:val="02020404030301010803"/>
    <w:charset w:val="00"/>
    <w:family w:val="roman"/>
    <w:pitch w:val="default"/>
    <w:sig w:usb0="00000287" w:usb1="00000000" w:usb2="00000000" w:usb3="00000000" w:csb0="0000009F" w:csb1="DFD7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framePr w:wrap="auto" w:vAnchor="text" w:hAnchor="margin" w:xAlign="center" w:y="1"/>
      <w:rPr>
        <w:rStyle w:val="18"/>
      </w:rPr>
    </w:pPr>
    <w:r>
      <w:rPr>
        <w:rStyle w:val="18"/>
      </w:rPr>
      <w:fldChar w:fldCharType="begin"/>
    </w:r>
    <w:r>
      <w:rPr>
        <w:rStyle w:val="18"/>
      </w:rPr>
      <w:instrText xml:space="preserve">PAGE  </w:instrText>
    </w:r>
    <w:r>
      <w:rPr>
        <w:rStyle w:val="18"/>
      </w:rPr>
      <w:fldChar w:fldCharType="separate"/>
    </w:r>
    <w:r>
      <w:rPr>
        <w:rStyle w:val="18"/>
      </w:rPr>
      <w:t>11</w:t>
    </w:r>
    <w:r>
      <w:rPr>
        <w:rStyle w:val="18"/>
      </w:rPr>
      <w:fldChar w:fldCharType="end"/>
    </w:r>
  </w:p>
  <w:p>
    <w:pPr>
      <w:pStyle w:val="12"/>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1"/>
    <w:multiLevelType w:val="multilevel"/>
    <w:tmpl w:val="00000011"/>
    <w:lvl w:ilvl="0" w:tentative="0">
      <w:start w:val="1"/>
      <w:numFmt w:val="chineseCountingThousand"/>
      <w:lvlText w:val="第%1篇  "/>
      <w:lvlJc w:val="center"/>
      <w:pPr>
        <w:tabs>
          <w:tab w:val="left" w:pos="1368"/>
        </w:tabs>
        <w:ind w:left="-573" w:firstLine="861"/>
      </w:pPr>
      <w:rPr>
        <w:rFonts w:hint="eastAsia"/>
        <w:b/>
        <w:bCs/>
        <w:i w:val="0"/>
        <w:iCs w:val="0"/>
        <w:sz w:val="48"/>
        <w:szCs w:val="48"/>
      </w:rPr>
    </w:lvl>
    <w:lvl w:ilvl="1" w:tentative="0">
      <w:start w:val="1"/>
      <w:numFmt w:val="chineseCountingThousand"/>
      <w:suff w:val="nothing"/>
      <w:lvlText w:val="第%2章  "/>
      <w:lvlJc w:val="center"/>
      <w:pPr>
        <w:ind w:left="2664" w:hanging="2376"/>
      </w:pPr>
      <w:rPr>
        <w:rFonts w:hint="eastAsia"/>
        <w:b/>
        <w:bCs/>
        <w:i w:val="0"/>
        <w:iCs w:val="0"/>
        <w:sz w:val="36"/>
        <w:szCs w:val="36"/>
      </w:rPr>
    </w:lvl>
    <w:lvl w:ilvl="2" w:tentative="0">
      <w:start w:val="1"/>
      <w:numFmt w:val="chineseCountingThousand"/>
      <w:lvlText w:val="第%3节 "/>
      <w:lvlJc w:val="center"/>
      <w:pPr>
        <w:tabs>
          <w:tab w:val="left" w:pos="1008"/>
        </w:tabs>
        <w:ind w:left="420" w:hanging="132"/>
      </w:pPr>
      <w:rPr>
        <w:rFonts w:hint="eastAsia" w:ascii="宋体" w:eastAsia="宋体"/>
        <w:b w:val="0"/>
        <w:bCs w:val="0"/>
        <w:i w:val="0"/>
        <w:iCs w:val="0"/>
        <w:sz w:val="30"/>
        <w:szCs w:val="30"/>
      </w:rPr>
    </w:lvl>
    <w:lvl w:ilvl="3" w:tentative="0">
      <w:start w:val="1"/>
      <w:numFmt w:val="decimal"/>
      <w:lvlText w:val="%4. "/>
      <w:lvlJc w:val="left"/>
      <w:pPr>
        <w:tabs>
          <w:tab w:val="left" w:pos="703"/>
        </w:tabs>
        <w:ind w:left="703" w:hanging="567"/>
      </w:pPr>
      <w:rPr>
        <w:rFonts w:hint="eastAsia"/>
      </w:rPr>
    </w:lvl>
    <w:lvl w:ilvl="4" w:tentative="0">
      <w:start w:val="1"/>
      <w:numFmt w:val="decimal"/>
      <w:pStyle w:val="5"/>
      <w:lvlText w:val="%4.%5 "/>
      <w:lvlJc w:val="left"/>
      <w:pPr>
        <w:tabs>
          <w:tab w:val="left" w:pos="-714"/>
        </w:tabs>
        <w:ind w:left="1270" w:hanging="567"/>
      </w:pPr>
      <w:rPr>
        <w:rFonts w:hint="eastAsia"/>
      </w:rPr>
    </w:lvl>
    <w:lvl w:ilvl="5" w:tentative="0">
      <w:start w:val="1"/>
      <w:numFmt w:val="decimal"/>
      <w:pStyle w:val="6"/>
      <w:lvlText w:val="%4.%5.%6"/>
      <w:lvlJc w:val="left"/>
      <w:pPr>
        <w:tabs>
          <w:tab w:val="left" w:pos="-714"/>
        </w:tabs>
        <w:ind w:left="1837" w:hanging="709"/>
      </w:pPr>
      <w:rPr>
        <w:rFonts w:hint="eastAsia"/>
      </w:rPr>
    </w:lvl>
    <w:lvl w:ilvl="6" w:tentative="0">
      <w:start w:val="1"/>
      <w:numFmt w:val="decimal"/>
      <w:lvlText w:val="%7、"/>
      <w:lvlJc w:val="left"/>
      <w:pPr>
        <w:tabs>
          <w:tab w:val="left" w:pos="-714"/>
        </w:tabs>
        <w:ind w:left="2829" w:hanging="1276"/>
      </w:pPr>
      <w:rPr>
        <w:rFonts w:ascii="宋体" w:hAnsi="宋体" w:eastAsia="宋体"/>
      </w:rPr>
    </w:lvl>
    <w:lvl w:ilvl="7" w:tentative="0">
      <w:start w:val="1"/>
      <w:numFmt w:val="decimal"/>
      <w:lvlText w:val="%1.%2.%3.%4.%5.%6.%7.%8"/>
      <w:lvlJc w:val="left"/>
      <w:pPr>
        <w:tabs>
          <w:tab w:val="left" w:pos="3778"/>
        </w:tabs>
        <w:ind w:left="3396" w:hanging="1418"/>
      </w:pPr>
      <w:rPr>
        <w:rFonts w:hint="eastAsia"/>
      </w:rPr>
    </w:lvl>
    <w:lvl w:ilvl="8" w:tentative="0">
      <w:start w:val="1"/>
      <w:numFmt w:val="decimal"/>
      <w:lvlText w:val="%1.%2.%3.%4.%5.%6.%7.%8.%9"/>
      <w:lvlJc w:val="left"/>
      <w:pPr>
        <w:tabs>
          <w:tab w:val="left" w:pos="4204"/>
        </w:tabs>
        <w:ind w:left="4104"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4A91"/>
    <w:rsid w:val="00002F75"/>
    <w:rsid w:val="00004B20"/>
    <w:rsid w:val="000068C1"/>
    <w:rsid w:val="00010CDA"/>
    <w:rsid w:val="00013B17"/>
    <w:rsid w:val="00013B23"/>
    <w:rsid w:val="0002098F"/>
    <w:rsid w:val="00020E05"/>
    <w:rsid w:val="00021351"/>
    <w:rsid w:val="00025414"/>
    <w:rsid w:val="000260C8"/>
    <w:rsid w:val="000269A2"/>
    <w:rsid w:val="00033E8D"/>
    <w:rsid w:val="00035A09"/>
    <w:rsid w:val="00041C79"/>
    <w:rsid w:val="00043220"/>
    <w:rsid w:val="000452C6"/>
    <w:rsid w:val="00055BD3"/>
    <w:rsid w:val="0005785E"/>
    <w:rsid w:val="000640B1"/>
    <w:rsid w:val="000670B6"/>
    <w:rsid w:val="0007088D"/>
    <w:rsid w:val="0007591B"/>
    <w:rsid w:val="00081EC8"/>
    <w:rsid w:val="00085043"/>
    <w:rsid w:val="0008732D"/>
    <w:rsid w:val="0009252C"/>
    <w:rsid w:val="0009695D"/>
    <w:rsid w:val="00097727"/>
    <w:rsid w:val="000A0B63"/>
    <w:rsid w:val="000A0DD6"/>
    <w:rsid w:val="000A1DE6"/>
    <w:rsid w:val="000A207B"/>
    <w:rsid w:val="000A75C8"/>
    <w:rsid w:val="000B0A04"/>
    <w:rsid w:val="000B2503"/>
    <w:rsid w:val="000B7C76"/>
    <w:rsid w:val="000C0D91"/>
    <w:rsid w:val="000C16E8"/>
    <w:rsid w:val="000C22E6"/>
    <w:rsid w:val="000C2C12"/>
    <w:rsid w:val="000C5428"/>
    <w:rsid w:val="000C63AD"/>
    <w:rsid w:val="000D0065"/>
    <w:rsid w:val="000D1282"/>
    <w:rsid w:val="000D5A14"/>
    <w:rsid w:val="000D5BC7"/>
    <w:rsid w:val="000D7A76"/>
    <w:rsid w:val="000D7D4F"/>
    <w:rsid w:val="000E08EE"/>
    <w:rsid w:val="000F5658"/>
    <w:rsid w:val="000F58EB"/>
    <w:rsid w:val="000F604A"/>
    <w:rsid w:val="000F61F1"/>
    <w:rsid w:val="000F7E22"/>
    <w:rsid w:val="00102C22"/>
    <w:rsid w:val="001037E3"/>
    <w:rsid w:val="00103A83"/>
    <w:rsid w:val="00104562"/>
    <w:rsid w:val="00104EB1"/>
    <w:rsid w:val="001056C5"/>
    <w:rsid w:val="0011140C"/>
    <w:rsid w:val="00112C8E"/>
    <w:rsid w:val="0011300A"/>
    <w:rsid w:val="00116F2B"/>
    <w:rsid w:val="00121508"/>
    <w:rsid w:val="00123278"/>
    <w:rsid w:val="00125C88"/>
    <w:rsid w:val="00131331"/>
    <w:rsid w:val="00132ACF"/>
    <w:rsid w:val="0013379B"/>
    <w:rsid w:val="001351F4"/>
    <w:rsid w:val="00135848"/>
    <w:rsid w:val="00144E9C"/>
    <w:rsid w:val="00146C06"/>
    <w:rsid w:val="00151D1F"/>
    <w:rsid w:val="00153A32"/>
    <w:rsid w:val="00153D73"/>
    <w:rsid w:val="001543DB"/>
    <w:rsid w:val="00164492"/>
    <w:rsid w:val="001706BA"/>
    <w:rsid w:val="0017098D"/>
    <w:rsid w:val="001725C4"/>
    <w:rsid w:val="001741CF"/>
    <w:rsid w:val="001760DF"/>
    <w:rsid w:val="00177C23"/>
    <w:rsid w:val="001835DB"/>
    <w:rsid w:val="00191010"/>
    <w:rsid w:val="00191A98"/>
    <w:rsid w:val="001924E9"/>
    <w:rsid w:val="00195252"/>
    <w:rsid w:val="0019565B"/>
    <w:rsid w:val="00196869"/>
    <w:rsid w:val="001A2A39"/>
    <w:rsid w:val="001A6C4B"/>
    <w:rsid w:val="001B1DEC"/>
    <w:rsid w:val="001B2895"/>
    <w:rsid w:val="001B28C6"/>
    <w:rsid w:val="001B560B"/>
    <w:rsid w:val="001B5D35"/>
    <w:rsid w:val="001B7CDE"/>
    <w:rsid w:val="001C0A91"/>
    <w:rsid w:val="001C121D"/>
    <w:rsid w:val="001D2504"/>
    <w:rsid w:val="001D5D8B"/>
    <w:rsid w:val="001D6BE2"/>
    <w:rsid w:val="001E25B5"/>
    <w:rsid w:val="001E3482"/>
    <w:rsid w:val="001E3516"/>
    <w:rsid w:val="001E6566"/>
    <w:rsid w:val="001E7909"/>
    <w:rsid w:val="001F2353"/>
    <w:rsid w:val="001F3BEC"/>
    <w:rsid w:val="00201A9A"/>
    <w:rsid w:val="00201F79"/>
    <w:rsid w:val="0021161C"/>
    <w:rsid w:val="002122F4"/>
    <w:rsid w:val="0021267B"/>
    <w:rsid w:val="00216A54"/>
    <w:rsid w:val="00222235"/>
    <w:rsid w:val="00222C63"/>
    <w:rsid w:val="00227212"/>
    <w:rsid w:val="0023011C"/>
    <w:rsid w:val="0023783E"/>
    <w:rsid w:val="00241B99"/>
    <w:rsid w:val="00243085"/>
    <w:rsid w:val="00244049"/>
    <w:rsid w:val="00245E72"/>
    <w:rsid w:val="00247D32"/>
    <w:rsid w:val="0025042C"/>
    <w:rsid w:val="00251A82"/>
    <w:rsid w:val="0025774A"/>
    <w:rsid w:val="00257C6D"/>
    <w:rsid w:val="00264D3A"/>
    <w:rsid w:val="00266160"/>
    <w:rsid w:val="00275B48"/>
    <w:rsid w:val="00277D4F"/>
    <w:rsid w:val="00281220"/>
    <w:rsid w:val="0028544D"/>
    <w:rsid w:val="00286248"/>
    <w:rsid w:val="002901C5"/>
    <w:rsid w:val="00294A50"/>
    <w:rsid w:val="002A0949"/>
    <w:rsid w:val="002A264D"/>
    <w:rsid w:val="002A3A8F"/>
    <w:rsid w:val="002A438D"/>
    <w:rsid w:val="002B64C2"/>
    <w:rsid w:val="002B64D8"/>
    <w:rsid w:val="002B6E84"/>
    <w:rsid w:val="002B79C2"/>
    <w:rsid w:val="002C0115"/>
    <w:rsid w:val="002C2145"/>
    <w:rsid w:val="002C5641"/>
    <w:rsid w:val="002D1750"/>
    <w:rsid w:val="002D5132"/>
    <w:rsid w:val="002D732E"/>
    <w:rsid w:val="002E0233"/>
    <w:rsid w:val="003007BC"/>
    <w:rsid w:val="00300D3C"/>
    <w:rsid w:val="00301879"/>
    <w:rsid w:val="00311846"/>
    <w:rsid w:val="003127BA"/>
    <w:rsid w:val="003140E9"/>
    <w:rsid w:val="00314D75"/>
    <w:rsid w:val="00316FB3"/>
    <w:rsid w:val="00320270"/>
    <w:rsid w:val="003209E3"/>
    <w:rsid w:val="00322D46"/>
    <w:rsid w:val="00326272"/>
    <w:rsid w:val="00340BF7"/>
    <w:rsid w:val="0034329A"/>
    <w:rsid w:val="00346B92"/>
    <w:rsid w:val="00355265"/>
    <w:rsid w:val="00356D7C"/>
    <w:rsid w:val="00360A1A"/>
    <w:rsid w:val="00360F0D"/>
    <w:rsid w:val="003618D1"/>
    <w:rsid w:val="00361E46"/>
    <w:rsid w:val="0036386B"/>
    <w:rsid w:val="00364287"/>
    <w:rsid w:val="003648B5"/>
    <w:rsid w:val="00364B97"/>
    <w:rsid w:val="003662A3"/>
    <w:rsid w:val="0036704F"/>
    <w:rsid w:val="00370FE1"/>
    <w:rsid w:val="00375869"/>
    <w:rsid w:val="00381749"/>
    <w:rsid w:val="0038292C"/>
    <w:rsid w:val="00382BB1"/>
    <w:rsid w:val="00385410"/>
    <w:rsid w:val="00390689"/>
    <w:rsid w:val="00395733"/>
    <w:rsid w:val="003958F5"/>
    <w:rsid w:val="00396EB8"/>
    <w:rsid w:val="003A099B"/>
    <w:rsid w:val="003A7DCD"/>
    <w:rsid w:val="003B3DD7"/>
    <w:rsid w:val="003B477B"/>
    <w:rsid w:val="003B490A"/>
    <w:rsid w:val="003B64DD"/>
    <w:rsid w:val="003B7574"/>
    <w:rsid w:val="003C3247"/>
    <w:rsid w:val="003C338C"/>
    <w:rsid w:val="003C7DA4"/>
    <w:rsid w:val="003D0BDA"/>
    <w:rsid w:val="003D1681"/>
    <w:rsid w:val="003D22A4"/>
    <w:rsid w:val="003E452F"/>
    <w:rsid w:val="003E4E13"/>
    <w:rsid w:val="003E6283"/>
    <w:rsid w:val="003E7C5D"/>
    <w:rsid w:val="003E7CCC"/>
    <w:rsid w:val="003F023E"/>
    <w:rsid w:val="003F09B7"/>
    <w:rsid w:val="003F150F"/>
    <w:rsid w:val="003F16B4"/>
    <w:rsid w:val="003F2915"/>
    <w:rsid w:val="003F7128"/>
    <w:rsid w:val="00402209"/>
    <w:rsid w:val="0040294A"/>
    <w:rsid w:val="0040321C"/>
    <w:rsid w:val="00406708"/>
    <w:rsid w:val="004151FE"/>
    <w:rsid w:val="004273CD"/>
    <w:rsid w:val="0043231B"/>
    <w:rsid w:val="00432605"/>
    <w:rsid w:val="004349E0"/>
    <w:rsid w:val="00434EA7"/>
    <w:rsid w:val="00436095"/>
    <w:rsid w:val="00440024"/>
    <w:rsid w:val="00440EEE"/>
    <w:rsid w:val="0044102A"/>
    <w:rsid w:val="0044406E"/>
    <w:rsid w:val="004450CC"/>
    <w:rsid w:val="00447245"/>
    <w:rsid w:val="00451DE8"/>
    <w:rsid w:val="004525AE"/>
    <w:rsid w:val="00460A39"/>
    <w:rsid w:val="00470B8A"/>
    <w:rsid w:val="00471385"/>
    <w:rsid w:val="00477F62"/>
    <w:rsid w:val="00481D43"/>
    <w:rsid w:val="00482E40"/>
    <w:rsid w:val="004845D6"/>
    <w:rsid w:val="00485A4A"/>
    <w:rsid w:val="004909F0"/>
    <w:rsid w:val="00491BD4"/>
    <w:rsid w:val="00492844"/>
    <w:rsid w:val="00492FDF"/>
    <w:rsid w:val="004966F0"/>
    <w:rsid w:val="00497314"/>
    <w:rsid w:val="004A40A8"/>
    <w:rsid w:val="004A4A91"/>
    <w:rsid w:val="004A6876"/>
    <w:rsid w:val="004B0408"/>
    <w:rsid w:val="004B1228"/>
    <w:rsid w:val="004B3575"/>
    <w:rsid w:val="004B4D4A"/>
    <w:rsid w:val="004B5EEA"/>
    <w:rsid w:val="004B68AE"/>
    <w:rsid w:val="004B7B0D"/>
    <w:rsid w:val="004C1378"/>
    <w:rsid w:val="004C324C"/>
    <w:rsid w:val="004C6972"/>
    <w:rsid w:val="004C74D7"/>
    <w:rsid w:val="004D11E9"/>
    <w:rsid w:val="004D1712"/>
    <w:rsid w:val="004D39DC"/>
    <w:rsid w:val="004D78D5"/>
    <w:rsid w:val="004E1B1C"/>
    <w:rsid w:val="004E1C23"/>
    <w:rsid w:val="004E67DB"/>
    <w:rsid w:val="004F24A0"/>
    <w:rsid w:val="004F394D"/>
    <w:rsid w:val="004F3A96"/>
    <w:rsid w:val="004F5E6D"/>
    <w:rsid w:val="005003B0"/>
    <w:rsid w:val="00504F2F"/>
    <w:rsid w:val="00510BD7"/>
    <w:rsid w:val="00511393"/>
    <w:rsid w:val="00513BF9"/>
    <w:rsid w:val="00516758"/>
    <w:rsid w:val="00516D63"/>
    <w:rsid w:val="005267FE"/>
    <w:rsid w:val="00530CF7"/>
    <w:rsid w:val="00531354"/>
    <w:rsid w:val="00537A48"/>
    <w:rsid w:val="005410B3"/>
    <w:rsid w:val="00543AA0"/>
    <w:rsid w:val="00554F57"/>
    <w:rsid w:val="00555906"/>
    <w:rsid w:val="0056029E"/>
    <w:rsid w:val="00562024"/>
    <w:rsid w:val="00564D2E"/>
    <w:rsid w:val="005650D6"/>
    <w:rsid w:val="00565222"/>
    <w:rsid w:val="005705BF"/>
    <w:rsid w:val="005724C2"/>
    <w:rsid w:val="005804E4"/>
    <w:rsid w:val="00580610"/>
    <w:rsid w:val="00581144"/>
    <w:rsid w:val="00581DBB"/>
    <w:rsid w:val="005900DB"/>
    <w:rsid w:val="0059761E"/>
    <w:rsid w:val="005978C2"/>
    <w:rsid w:val="005A02A0"/>
    <w:rsid w:val="005A047A"/>
    <w:rsid w:val="005A05F1"/>
    <w:rsid w:val="005A0EAE"/>
    <w:rsid w:val="005A3046"/>
    <w:rsid w:val="005A6E2A"/>
    <w:rsid w:val="005A755A"/>
    <w:rsid w:val="005B0A1C"/>
    <w:rsid w:val="005B3A89"/>
    <w:rsid w:val="005B46A8"/>
    <w:rsid w:val="005C317C"/>
    <w:rsid w:val="005C4AB4"/>
    <w:rsid w:val="005C6ED0"/>
    <w:rsid w:val="005D0480"/>
    <w:rsid w:val="005D0D71"/>
    <w:rsid w:val="005D175F"/>
    <w:rsid w:val="005D20CE"/>
    <w:rsid w:val="005D4B27"/>
    <w:rsid w:val="005E0FF3"/>
    <w:rsid w:val="005E29BA"/>
    <w:rsid w:val="005E3327"/>
    <w:rsid w:val="005E3AFB"/>
    <w:rsid w:val="005F3A03"/>
    <w:rsid w:val="005F4AD1"/>
    <w:rsid w:val="005F563D"/>
    <w:rsid w:val="005F58EE"/>
    <w:rsid w:val="005F637B"/>
    <w:rsid w:val="005F67FF"/>
    <w:rsid w:val="00601D18"/>
    <w:rsid w:val="00601E06"/>
    <w:rsid w:val="006050A9"/>
    <w:rsid w:val="0062295B"/>
    <w:rsid w:val="006245C4"/>
    <w:rsid w:val="00627ADA"/>
    <w:rsid w:val="00630051"/>
    <w:rsid w:val="0063324A"/>
    <w:rsid w:val="006339FF"/>
    <w:rsid w:val="00633F7D"/>
    <w:rsid w:val="00635438"/>
    <w:rsid w:val="00646A57"/>
    <w:rsid w:val="0064776B"/>
    <w:rsid w:val="00653DA8"/>
    <w:rsid w:val="0065555C"/>
    <w:rsid w:val="00656017"/>
    <w:rsid w:val="006571CC"/>
    <w:rsid w:val="00666944"/>
    <w:rsid w:val="0066726B"/>
    <w:rsid w:val="006734AE"/>
    <w:rsid w:val="00674230"/>
    <w:rsid w:val="006765B0"/>
    <w:rsid w:val="0067719F"/>
    <w:rsid w:val="0068236D"/>
    <w:rsid w:val="006826F0"/>
    <w:rsid w:val="00682AE4"/>
    <w:rsid w:val="00686216"/>
    <w:rsid w:val="00690BB5"/>
    <w:rsid w:val="006A1171"/>
    <w:rsid w:val="006A14A8"/>
    <w:rsid w:val="006A5D4D"/>
    <w:rsid w:val="006B0B7D"/>
    <w:rsid w:val="006B195C"/>
    <w:rsid w:val="006B4773"/>
    <w:rsid w:val="006B6723"/>
    <w:rsid w:val="006B735C"/>
    <w:rsid w:val="006C4580"/>
    <w:rsid w:val="006C6419"/>
    <w:rsid w:val="006C7365"/>
    <w:rsid w:val="006C7810"/>
    <w:rsid w:val="006C7A60"/>
    <w:rsid w:val="006D1B82"/>
    <w:rsid w:val="006D4420"/>
    <w:rsid w:val="006D6640"/>
    <w:rsid w:val="006D68DF"/>
    <w:rsid w:val="006E439E"/>
    <w:rsid w:val="006E6024"/>
    <w:rsid w:val="006E6196"/>
    <w:rsid w:val="006E6D51"/>
    <w:rsid w:val="006F37C2"/>
    <w:rsid w:val="006F401C"/>
    <w:rsid w:val="006F6D44"/>
    <w:rsid w:val="00702485"/>
    <w:rsid w:val="0070271C"/>
    <w:rsid w:val="00702FE8"/>
    <w:rsid w:val="00704C0C"/>
    <w:rsid w:val="00706647"/>
    <w:rsid w:val="00711241"/>
    <w:rsid w:val="00715DA4"/>
    <w:rsid w:val="00715F0E"/>
    <w:rsid w:val="00717792"/>
    <w:rsid w:val="007212E5"/>
    <w:rsid w:val="00723DA5"/>
    <w:rsid w:val="007276BC"/>
    <w:rsid w:val="00731215"/>
    <w:rsid w:val="007329B5"/>
    <w:rsid w:val="007334D6"/>
    <w:rsid w:val="00735D64"/>
    <w:rsid w:val="00736204"/>
    <w:rsid w:val="0073701A"/>
    <w:rsid w:val="0074218D"/>
    <w:rsid w:val="007428D8"/>
    <w:rsid w:val="00754FF0"/>
    <w:rsid w:val="00755C1D"/>
    <w:rsid w:val="00756A6A"/>
    <w:rsid w:val="0076124B"/>
    <w:rsid w:val="00761997"/>
    <w:rsid w:val="00765B07"/>
    <w:rsid w:val="00765D2A"/>
    <w:rsid w:val="00771F09"/>
    <w:rsid w:val="00774D76"/>
    <w:rsid w:val="00775212"/>
    <w:rsid w:val="00776340"/>
    <w:rsid w:val="00782AAE"/>
    <w:rsid w:val="00783FB7"/>
    <w:rsid w:val="00784BCE"/>
    <w:rsid w:val="007936DA"/>
    <w:rsid w:val="00795296"/>
    <w:rsid w:val="00796430"/>
    <w:rsid w:val="007974B4"/>
    <w:rsid w:val="00797C2D"/>
    <w:rsid w:val="007A08E9"/>
    <w:rsid w:val="007A5BBE"/>
    <w:rsid w:val="007B1062"/>
    <w:rsid w:val="007B5E51"/>
    <w:rsid w:val="007B6796"/>
    <w:rsid w:val="007C2972"/>
    <w:rsid w:val="007C6199"/>
    <w:rsid w:val="007C667C"/>
    <w:rsid w:val="007C7CA3"/>
    <w:rsid w:val="007C7D83"/>
    <w:rsid w:val="007D21FA"/>
    <w:rsid w:val="007D5D1A"/>
    <w:rsid w:val="007D73CF"/>
    <w:rsid w:val="007D7ABA"/>
    <w:rsid w:val="007D7B28"/>
    <w:rsid w:val="007E0617"/>
    <w:rsid w:val="007E0619"/>
    <w:rsid w:val="007E0993"/>
    <w:rsid w:val="007E195C"/>
    <w:rsid w:val="007E3050"/>
    <w:rsid w:val="007E3681"/>
    <w:rsid w:val="007E58F6"/>
    <w:rsid w:val="007F0A10"/>
    <w:rsid w:val="00802686"/>
    <w:rsid w:val="008028B2"/>
    <w:rsid w:val="00805C3C"/>
    <w:rsid w:val="0081165A"/>
    <w:rsid w:val="0082454E"/>
    <w:rsid w:val="0083260F"/>
    <w:rsid w:val="00840DC9"/>
    <w:rsid w:val="0084134A"/>
    <w:rsid w:val="00841F06"/>
    <w:rsid w:val="0086337A"/>
    <w:rsid w:val="00866D57"/>
    <w:rsid w:val="00867E8B"/>
    <w:rsid w:val="00873314"/>
    <w:rsid w:val="008736A9"/>
    <w:rsid w:val="00874920"/>
    <w:rsid w:val="00876455"/>
    <w:rsid w:val="00876E48"/>
    <w:rsid w:val="00882AE6"/>
    <w:rsid w:val="008839B2"/>
    <w:rsid w:val="00884333"/>
    <w:rsid w:val="00884958"/>
    <w:rsid w:val="00892178"/>
    <w:rsid w:val="00893B88"/>
    <w:rsid w:val="00896882"/>
    <w:rsid w:val="00897B0F"/>
    <w:rsid w:val="008A311A"/>
    <w:rsid w:val="008A567B"/>
    <w:rsid w:val="008A6A0D"/>
    <w:rsid w:val="008A75B8"/>
    <w:rsid w:val="008A75D9"/>
    <w:rsid w:val="008B0749"/>
    <w:rsid w:val="008B1238"/>
    <w:rsid w:val="008B3AAA"/>
    <w:rsid w:val="008B4C5E"/>
    <w:rsid w:val="008C03B4"/>
    <w:rsid w:val="008C0A70"/>
    <w:rsid w:val="008C3EF9"/>
    <w:rsid w:val="008C3FB9"/>
    <w:rsid w:val="008C54BC"/>
    <w:rsid w:val="008C5B4D"/>
    <w:rsid w:val="008C636D"/>
    <w:rsid w:val="008C673D"/>
    <w:rsid w:val="008D11D3"/>
    <w:rsid w:val="008D3B26"/>
    <w:rsid w:val="008D55A5"/>
    <w:rsid w:val="008D594B"/>
    <w:rsid w:val="008D5E7B"/>
    <w:rsid w:val="008E12AA"/>
    <w:rsid w:val="008E1F37"/>
    <w:rsid w:val="008E30DF"/>
    <w:rsid w:val="008E70BB"/>
    <w:rsid w:val="008F08EA"/>
    <w:rsid w:val="008F4831"/>
    <w:rsid w:val="008F5A87"/>
    <w:rsid w:val="00900FA8"/>
    <w:rsid w:val="00901C62"/>
    <w:rsid w:val="00903F04"/>
    <w:rsid w:val="00907FC7"/>
    <w:rsid w:val="00910495"/>
    <w:rsid w:val="0091164C"/>
    <w:rsid w:val="00912C90"/>
    <w:rsid w:val="00915543"/>
    <w:rsid w:val="009175DA"/>
    <w:rsid w:val="0092041E"/>
    <w:rsid w:val="009237DD"/>
    <w:rsid w:val="0092422C"/>
    <w:rsid w:val="00927F3E"/>
    <w:rsid w:val="009331B0"/>
    <w:rsid w:val="009379D9"/>
    <w:rsid w:val="00940C0B"/>
    <w:rsid w:val="00942764"/>
    <w:rsid w:val="00950B0B"/>
    <w:rsid w:val="00952D37"/>
    <w:rsid w:val="00955044"/>
    <w:rsid w:val="0096184F"/>
    <w:rsid w:val="00965BAB"/>
    <w:rsid w:val="0097118D"/>
    <w:rsid w:val="00971C61"/>
    <w:rsid w:val="0098157C"/>
    <w:rsid w:val="00981780"/>
    <w:rsid w:val="0098233D"/>
    <w:rsid w:val="00986DEE"/>
    <w:rsid w:val="0099296F"/>
    <w:rsid w:val="00994A02"/>
    <w:rsid w:val="00994B65"/>
    <w:rsid w:val="009A32D3"/>
    <w:rsid w:val="009A5A98"/>
    <w:rsid w:val="009A609D"/>
    <w:rsid w:val="009A6734"/>
    <w:rsid w:val="009A7F22"/>
    <w:rsid w:val="009B1B31"/>
    <w:rsid w:val="009B3BB0"/>
    <w:rsid w:val="009C2D96"/>
    <w:rsid w:val="009C4FD4"/>
    <w:rsid w:val="009C66B8"/>
    <w:rsid w:val="009C6ABE"/>
    <w:rsid w:val="009D1DDE"/>
    <w:rsid w:val="009D4921"/>
    <w:rsid w:val="009D6257"/>
    <w:rsid w:val="009D6C92"/>
    <w:rsid w:val="009E4758"/>
    <w:rsid w:val="009E7E4B"/>
    <w:rsid w:val="009F0D32"/>
    <w:rsid w:val="00A028AD"/>
    <w:rsid w:val="00A04045"/>
    <w:rsid w:val="00A07F7E"/>
    <w:rsid w:val="00A106B7"/>
    <w:rsid w:val="00A14451"/>
    <w:rsid w:val="00A168D7"/>
    <w:rsid w:val="00A1752B"/>
    <w:rsid w:val="00A20724"/>
    <w:rsid w:val="00A22946"/>
    <w:rsid w:val="00A231CB"/>
    <w:rsid w:val="00A23D79"/>
    <w:rsid w:val="00A251D6"/>
    <w:rsid w:val="00A309C8"/>
    <w:rsid w:val="00A42630"/>
    <w:rsid w:val="00A46FD7"/>
    <w:rsid w:val="00A50D8C"/>
    <w:rsid w:val="00A521F9"/>
    <w:rsid w:val="00A52990"/>
    <w:rsid w:val="00A564C4"/>
    <w:rsid w:val="00A606EA"/>
    <w:rsid w:val="00A608E3"/>
    <w:rsid w:val="00A619C9"/>
    <w:rsid w:val="00A631F3"/>
    <w:rsid w:val="00A64A49"/>
    <w:rsid w:val="00A65FB8"/>
    <w:rsid w:val="00A66555"/>
    <w:rsid w:val="00A67076"/>
    <w:rsid w:val="00A67F3D"/>
    <w:rsid w:val="00A707A3"/>
    <w:rsid w:val="00A72014"/>
    <w:rsid w:val="00A72CBD"/>
    <w:rsid w:val="00A73990"/>
    <w:rsid w:val="00A74003"/>
    <w:rsid w:val="00A748BB"/>
    <w:rsid w:val="00A74FE9"/>
    <w:rsid w:val="00A83A12"/>
    <w:rsid w:val="00A84B01"/>
    <w:rsid w:val="00A87640"/>
    <w:rsid w:val="00AA098D"/>
    <w:rsid w:val="00AA346E"/>
    <w:rsid w:val="00AA4492"/>
    <w:rsid w:val="00AA5223"/>
    <w:rsid w:val="00AB1F07"/>
    <w:rsid w:val="00AB222F"/>
    <w:rsid w:val="00AC1CB2"/>
    <w:rsid w:val="00AC5DDF"/>
    <w:rsid w:val="00AC7172"/>
    <w:rsid w:val="00AD16D2"/>
    <w:rsid w:val="00AD414C"/>
    <w:rsid w:val="00AD45A8"/>
    <w:rsid w:val="00AD4E44"/>
    <w:rsid w:val="00AD6540"/>
    <w:rsid w:val="00AE11A4"/>
    <w:rsid w:val="00AE1F31"/>
    <w:rsid w:val="00AE2A77"/>
    <w:rsid w:val="00AE3C59"/>
    <w:rsid w:val="00AE479E"/>
    <w:rsid w:val="00AE59AE"/>
    <w:rsid w:val="00AF0379"/>
    <w:rsid w:val="00AF49C4"/>
    <w:rsid w:val="00AF4A9B"/>
    <w:rsid w:val="00AF5EF3"/>
    <w:rsid w:val="00AF66ED"/>
    <w:rsid w:val="00B02803"/>
    <w:rsid w:val="00B100AE"/>
    <w:rsid w:val="00B1032A"/>
    <w:rsid w:val="00B13A5F"/>
    <w:rsid w:val="00B167D0"/>
    <w:rsid w:val="00B208F3"/>
    <w:rsid w:val="00B2271D"/>
    <w:rsid w:val="00B22ABC"/>
    <w:rsid w:val="00B2670C"/>
    <w:rsid w:val="00B278AC"/>
    <w:rsid w:val="00B3700E"/>
    <w:rsid w:val="00B43D66"/>
    <w:rsid w:val="00B46D02"/>
    <w:rsid w:val="00B514F5"/>
    <w:rsid w:val="00B51678"/>
    <w:rsid w:val="00B554B5"/>
    <w:rsid w:val="00B57C03"/>
    <w:rsid w:val="00B604CF"/>
    <w:rsid w:val="00B6496F"/>
    <w:rsid w:val="00B65202"/>
    <w:rsid w:val="00B67435"/>
    <w:rsid w:val="00B719C6"/>
    <w:rsid w:val="00B72061"/>
    <w:rsid w:val="00B740BA"/>
    <w:rsid w:val="00B7499C"/>
    <w:rsid w:val="00B76865"/>
    <w:rsid w:val="00B77B8A"/>
    <w:rsid w:val="00B80B83"/>
    <w:rsid w:val="00B83E66"/>
    <w:rsid w:val="00B87337"/>
    <w:rsid w:val="00B9245D"/>
    <w:rsid w:val="00B9748E"/>
    <w:rsid w:val="00BA2619"/>
    <w:rsid w:val="00BB0F1C"/>
    <w:rsid w:val="00BB1FFF"/>
    <w:rsid w:val="00BB3CA4"/>
    <w:rsid w:val="00BB55AA"/>
    <w:rsid w:val="00BB63A7"/>
    <w:rsid w:val="00BB7D77"/>
    <w:rsid w:val="00BB7FD2"/>
    <w:rsid w:val="00BC3F48"/>
    <w:rsid w:val="00BC47B4"/>
    <w:rsid w:val="00BC5754"/>
    <w:rsid w:val="00BD281F"/>
    <w:rsid w:val="00BD6D14"/>
    <w:rsid w:val="00BE2AEB"/>
    <w:rsid w:val="00BE2D0E"/>
    <w:rsid w:val="00BE60F5"/>
    <w:rsid w:val="00BE792E"/>
    <w:rsid w:val="00BF16A3"/>
    <w:rsid w:val="00BF725C"/>
    <w:rsid w:val="00BF7BE6"/>
    <w:rsid w:val="00C00841"/>
    <w:rsid w:val="00C0126D"/>
    <w:rsid w:val="00C02B0E"/>
    <w:rsid w:val="00C03F2B"/>
    <w:rsid w:val="00C05D2A"/>
    <w:rsid w:val="00C07201"/>
    <w:rsid w:val="00C075C5"/>
    <w:rsid w:val="00C07608"/>
    <w:rsid w:val="00C11C86"/>
    <w:rsid w:val="00C13496"/>
    <w:rsid w:val="00C15B20"/>
    <w:rsid w:val="00C20B3F"/>
    <w:rsid w:val="00C25A24"/>
    <w:rsid w:val="00C265F9"/>
    <w:rsid w:val="00C26EEF"/>
    <w:rsid w:val="00C273D4"/>
    <w:rsid w:val="00C276F4"/>
    <w:rsid w:val="00C31408"/>
    <w:rsid w:val="00C3481D"/>
    <w:rsid w:val="00C3768A"/>
    <w:rsid w:val="00C44156"/>
    <w:rsid w:val="00C465EC"/>
    <w:rsid w:val="00C47E41"/>
    <w:rsid w:val="00C51032"/>
    <w:rsid w:val="00C5202F"/>
    <w:rsid w:val="00C54EF4"/>
    <w:rsid w:val="00C5604E"/>
    <w:rsid w:val="00C56DF2"/>
    <w:rsid w:val="00C61711"/>
    <w:rsid w:val="00C661AD"/>
    <w:rsid w:val="00C72E69"/>
    <w:rsid w:val="00C74E0C"/>
    <w:rsid w:val="00C76B35"/>
    <w:rsid w:val="00C82588"/>
    <w:rsid w:val="00C82BA3"/>
    <w:rsid w:val="00C82EC6"/>
    <w:rsid w:val="00C844B7"/>
    <w:rsid w:val="00C8642A"/>
    <w:rsid w:val="00C864C9"/>
    <w:rsid w:val="00C94EDC"/>
    <w:rsid w:val="00C964A5"/>
    <w:rsid w:val="00C96E51"/>
    <w:rsid w:val="00CB2B7F"/>
    <w:rsid w:val="00CB51DB"/>
    <w:rsid w:val="00CB75EF"/>
    <w:rsid w:val="00CC1485"/>
    <w:rsid w:val="00CC3A2F"/>
    <w:rsid w:val="00CC523F"/>
    <w:rsid w:val="00CC5382"/>
    <w:rsid w:val="00CD2A50"/>
    <w:rsid w:val="00CD5465"/>
    <w:rsid w:val="00CE2FDE"/>
    <w:rsid w:val="00CE3FAC"/>
    <w:rsid w:val="00CE4C3B"/>
    <w:rsid w:val="00CE5749"/>
    <w:rsid w:val="00CE5D44"/>
    <w:rsid w:val="00CE6B26"/>
    <w:rsid w:val="00CE6EEB"/>
    <w:rsid w:val="00CE7B66"/>
    <w:rsid w:val="00CF1A4D"/>
    <w:rsid w:val="00CF4961"/>
    <w:rsid w:val="00CF67E7"/>
    <w:rsid w:val="00D005BF"/>
    <w:rsid w:val="00D0340F"/>
    <w:rsid w:val="00D06260"/>
    <w:rsid w:val="00D06CBA"/>
    <w:rsid w:val="00D10B47"/>
    <w:rsid w:val="00D14EBC"/>
    <w:rsid w:val="00D20ABE"/>
    <w:rsid w:val="00D30FD7"/>
    <w:rsid w:val="00D31AAC"/>
    <w:rsid w:val="00D34227"/>
    <w:rsid w:val="00D358FF"/>
    <w:rsid w:val="00D36C42"/>
    <w:rsid w:val="00D41312"/>
    <w:rsid w:val="00D413E8"/>
    <w:rsid w:val="00D45405"/>
    <w:rsid w:val="00D514DC"/>
    <w:rsid w:val="00D555B5"/>
    <w:rsid w:val="00D566A4"/>
    <w:rsid w:val="00D62CA0"/>
    <w:rsid w:val="00D753C8"/>
    <w:rsid w:val="00D75C37"/>
    <w:rsid w:val="00D7658D"/>
    <w:rsid w:val="00D77457"/>
    <w:rsid w:val="00D81FC8"/>
    <w:rsid w:val="00D826BB"/>
    <w:rsid w:val="00D90D55"/>
    <w:rsid w:val="00D9259E"/>
    <w:rsid w:val="00D94F33"/>
    <w:rsid w:val="00DA02BB"/>
    <w:rsid w:val="00DA5BD2"/>
    <w:rsid w:val="00DA7544"/>
    <w:rsid w:val="00DB18C8"/>
    <w:rsid w:val="00DB366D"/>
    <w:rsid w:val="00DB3735"/>
    <w:rsid w:val="00DC1B7B"/>
    <w:rsid w:val="00DC630E"/>
    <w:rsid w:val="00DC75BB"/>
    <w:rsid w:val="00DD0EE8"/>
    <w:rsid w:val="00DD2ADC"/>
    <w:rsid w:val="00DD3559"/>
    <w:rsid w:val="00DD77A1"/>
    <w:rsid w:val="00DE00CD"/>
    <w:rsid w:val="00DE13A2"/>
    <w:rsid w:val="00DE39D8"/>
    <w:rsid w:val="00DF152A"/>
    <w:rsid w:val="00DF15D0"/>
    <w:rsid w:val="00DF242E"/>
    <w:rsid w:val="00DF3E6A"/>
    <w:rsid w:val="00DF606F"/>
    <w:rsid w:val="00E06111"/>
    <w:rsid w:val="00E07D1E"/>
    <w:rsid w:val="00E10DD8"/>
    <w:rsid w:val="00E11860"/>
    <w:rsid w:val="00E123A5"/>
    <w:rsid w:val="00E144B3"/>
    <w:rsid w:val="00E15455"/>
    <w:rsid w:val="00E2078B"/>
    <w:rsid w:val="00E211B0"/>
    <w:rsid w:val="00E218A8"/>
    <w:rsid w:val="00E246A1"/>
    <w:rsid w:val="00E254E5"/>
    <w:rsid w:val="00E264BB"/>
    <w:rsid w:val="00E2765C"/>
    <w:rsid w:val="00E30004"/>
    <w:rsid w:val="00E323F6"/>
    <w:rsid w:val="00E32C49"/>
    <w:rsid w:val="00E430EF"/>
    <w:rsid w:val="00E45BDC"/>
    <w:rsid w:val="00E45DCA"/>
    <w:rsid w:val="00E50855"/>
    <w:rsid w:val="00E51287"/>
    <w:rsid w:val="00E51647"/>
    <w:rsid w:val="00E537CD"/>
    <w:rsid w:val="00E54E75"/>
    <w:rsid w:val="00E575F2"/>
    <w:rsid w:val="00E60ECD"/>
    <w:rsid w:val="00E62983"/>
    <w:rsid w:val="00E63A3E"/>
    <w:rsid w:val="00E64D50"/>
    <w:rsid w:val="00E7161E"/>
    <w:rsid w:val="00E7300A"/>
    <w:rsid w:val="00E76D40"/>
    <w:rsid w:val="00E86966"/>
    <w:rsid w:val="00E87E05"/>
    <w:rsid w:val="00E94012"/>
    <w:rsid w:val="00E97527"/>
    <w:rsid w:val="00EA17AF"/>
    <w:rsid w:val="00EA25C0"/>
    <w:rsid w:val="00EA4C06"/>
    <w:rsid w:val="00EA54EE"/>
    <w:rsid w:val="00EB0167"/>
    <w:rsid w:val="00EB2B6D"/>
    <w:rsid w:val="00EB6799"/>
    <w:rsid w:val="00EB7E4E"/>
    <w:rsid w:val="00EC152F"/>
    <w:rsid w:val="00EC783E"/>
    <w:rsid w:val="00ED7C3D"/>
    <w:rsid w:val="00ED7DB2"/>
    <w:rsid w:val="00EE1526"/>
    <w:rsid w:val="00EE71EB"/>
    <w:rsid w:val="00EF37C8"/>
    <w:rsid w:val="00EF5C66"/>
    <w:rsid w:val="00F058B1"/>
    <w:rsid w:val="00F05A03"/>
    <w:rsid w:val="00F05AE4"/>
    <w:rsid w:val="00F06AF0"/>
    <w:rsid w:val="00F078C3"/>
    <w:rsid w:val="00F13E62"/>
    <w:rsid w:val="00F14886"/>
    <w:rsid w:val="00F22333"/>
    <w:rsid w:val="00F254C8"/>
    <w:rsid w:val="00F26C01"/>
    <w:rsid w:val="00F314D7"/>
    <w:rsid w:val="00F3348C"/>
    <w:rsid w:val="00F360FD"/>
    <w:rsid w:val="00F36764"/>
    <w:rsid w:val="00F456DB"/>
    <w:rsid w:val="00F53EAF"/>
    <w:rsid w:val="00F6142B"/>
    <w:rsid w:val="00F6349F"/>
    <w:rsid w:val="00F659E5"/>
    <w:rsid w:val="00F73445"/>
    <w:rsid w:val="00F76071"/>
    <w:rsid w:val="00F811EC"/>
    <w:rsid w:val="00F8414F"/>
    <w:rsid w:val="00F85250"/>
    <w:rsid w:val="00F8549D"/>
    <w:rsid w:val="00F90371"/>
    <w:rsid w:val="00FA2A43"/>
    <w:rsid w:val="00FA7261"/>
    <w:rsid w:val="00FB177D"/>
    <w:rsid w:val="00FB2412"/>
    <w:rsid w:val="00FB3D5E"/>
    <w:rsid w:val="00FB62E2"/>
    <w:rsid w:val="00FB6D95"/>
    <w:rsid w:val="00FB7111"/>
    <w:rsid w:val="00FC23D3"/>
    <w:rsid w:val="00FC24B0"/>
    <w:rsid w:val="00FC2D08"/>
    <w:rsid w:val="00FC3BBD"/>
    <w:rsid w:val="00FC7AB4"/>
    <w:rsid w:val="00FD08F8"/>
    <w:rsid w:val="00FD4F6C"/>
    <w:rsid w:val="00FF2A1F"/>
    <w:rsid w:val="00FF54AB"/>
    <w:rsid w:val="00FF5D21"/>
    <w:rsid w:val="00FF663D"/>
    <w:rsid w:val="01E27467"/>
    <w:rsid w:val="02A52712"/>
    <w:rsid w:val="032B7B72"/>
    <w:rsid w:val="037C799F"/>
    <w:rsid w:val="04BF6544"/>
    <w:rsid w:val="04FA046D"/>
    <w:rsid w:val="05543A17"/>
    <w:rsid w:val="05801AA5"/>
    <w:rsid w:val="062A122C"/>
    <w:rsid w:val="073257EC"/>
    <w:rsid w:val="08EA72FF"/>
    <w:rsid w:val="08FE07CE"/>
    <w:rsid w:val="09DF2400"/>
    <w:rsid w:val="0A434869"/>
    <w:rsid w:val="0A845AEA"/>
    <w:rsid w:val="0D8E1403"/>
    <w:rsid w:val="0DB90FEC"/>
    <w:rsid w:val="0DC72842"/>
    <w:rsid w:val="0FEE687B"/>
    <w:rsid w:val="116F2099"/>
    <w:rsid w:val="11F56BBE"/>
    <w:rsid w:val="12CA1ED4"/>
    <w:rsid w:val="145F2914"/>
    <w:rsid w:val="14BC5944"/>
    <w:rsid w:val="16A34401"/>
    <w:rsid w:val="16B46F0D"/>
    <w:rsid w:val="16BD5522"/>
    <w:rsid w:val="17086BC5"/>
    <w:rsid w:val="179B7F0E"/>
    <w:rsid w:val="17F50A51"/>
    <w:rsid w:val="187822FA"/>
    <w:rsid w:val="18F17FDB"/>
    <w:rsid w:val="1A5A4A64"/>
    <w:rsid w:val="1A9E06E9"/>
    <w:rsid w:val="1B19696D"/>
    <w:rsid w:val="1B3B400C"/>
    <w:rsid w:val="1BAE52E3"/>
    <w:rsid w:val="1C191345"/>
    <w:rsid w:val="1C47575E"/>
    <w:rsid w:val="1CE6454B"/>
    <w:rsid w:val="1D3251BB"/>
    <w:rsid w:val="1D767F00"/>
    <w:rsid w:val="1DD775E9"/>
    <w:rsid w:val="200266AD"/>
    <w:rsid w:val="2046143E"/>
    <w:rsid w:val="20B73CC6"/>
    <w:rsid w:val="236A7773"/>
    <w:rsid w:val="276D3435"/>
    <w:rsid w:val="295D2A48"/>
    <w:rsid w:val="29A04B53"/>
    <w:rsid w:val="2C983E5C"/>
    <w:rsid w:val="2ED03055"/>
    <w:rsid w:val="33231AC7"/>
    <w:rsid w:val="33E0040B"/>
    <w:rsid w:val="35314655"/>
    <w:rsid w:val="360F788C"/>
    <w:rsid w:val="36551020"/>
    <w:rsid w:val="36F567D7"/>
    <w:rsid w:val="372E0C54"/>
    <w:rsid w:val="378B5050"/>
    <w:rsid w:val="385F166A"/>
    <w:rsid w:val="38F2213B"/>
    <w:rsid w:val="39136EB5"/>
    <w:rsid w:val="3A221A60"/>
    <w:rsid w:val="3AAA03FE"/>
    <w:rsid w:val="3BD74F0A"/>
    <w:rsid w:val="3C9E41B6"/>
    <w:rsid w:val="3E09014C"/>
    <w:rsid w:val="3E4C5AC1"/>
    <w:rsid w:val="3F220050"/>
    <w:rsid w:val="3F406E97"/>
    <w:rsid w:val="423D42C3"/>
    <w:rsid w:val="43575642"/>
    <w:rsid w:val="43751AA5"/>
    <w:rsid w:val="466B0255"/>
    <w:rsid w:val="46F87255"/>
    <w:rsid w:val="470B3602"/>
    <w:rsid w:val="47EB6838"/>
    <w:rsid w:val="48E43FA6"/>
    <w:rsid w:val="4971333C"/>
    <w:rsid w:val="49DE400E"/>
    <w:rsid w:val="4D606C49"/>
    <w:rsid w:val="4F121089"/>
    <w:rsid w:val="5185235F"/>
    <w:rsid w:val="543C5D8E"/>
    <w:rsid w:val="55DE54F1"/>
    <w:rsid w:val="562D2AE2"/>
    <w:rsid w:val="56C42107"/>
    <w:rsid w:val="58223331"/>
    <w:rsid w:val="58DF2A42"/>
    <w:rsid w:val="59927896"/>
    <w:rsid w:val="59967AAE"/>
    <w:rsid w:val="5CE25CEE"/>
    <w:rsid w:val="615B659C"/>
    <w:rsid w:val="61EE4732"/>
    <w:rsid w:val="620832F8"/>
    <w:rsid w:val="623048AC"/>
    <w:rsid w:val="66017CBF"/>
    <w:rsid w:val="66AB11DE"/>
    <w:rsid w:val="67E00F1E"/>
    <w:rsid w:val="69652B83"/>
    <w:rsid w:val="69E64880"/>
    <w:rsid w:val="6A3D57BD"/>
    <w:rsid w:val="6ADE5BF8"/>
    <w:rsid w:val="6BF4609D"/>
    <w:rsid w:val="6C543170"/>
    <w:rsid w:val="6F3B3B73"/>
    <w:rsid w:val="702F409B"/>
    <w:rsid w:val="71C331CE"/>
    <w:rsid w:val="75D41203"/>
    <w:rsid w:val="76277146"/>
    <w:rsid w:val="764B12CB"/>
    <w:rsid w:val="76987E13"/>
    <w:rsid w:val="78580799"/>
    <w:rsid w:val="789E2FE7"/>
    <w:rsid w:val="79E97EDA"/>
    <w:rsid w:val="79EC79F6"/>
    <w:rsid w:val="7A397A30"/>
    <w:rsid w:val="7A3C7650"/>
    <w:rsid w:val="7AD51A85"/>
    <w:rsid w:val="7B1DE457"/>
    <w:rsid w:val="7C201BA7"/>
    <w:rsid w:val="7C7528D0"/>
    <w:rsid w:val="7CEC3B5C"/>
    <w:rsid w:val="7DEFF4D1"/>
    <w:rsid w:val="7F096004"/>
    <w:rsid w:val="7F3A3E66"/>
    <w:rsid w:val="B3FF389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3">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4">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5">
    <w:name w:val="heading 5"/>
    <w:basedOn w:val="1"/>
    <w:next w:val="1"/>
    <w:link w:val="20"/>
    <w:qFormat/>
    <w:uiPriority w:val="0"/>
    <w:pPr>
      <w:numPr>
        <w:ilvl w:val="4"/>
        <w:numId w:val="1"/>
      </w:numPr>
      <w:spacing w:before="30" w:after="30" w:line="360" w:lineRule="auto"/>
      <w:outlineLvl w:val="4"/>
    </w:pPr>
    <w:rPr>
      <w:sz w:val="24"/>
      <w:szCs w:val="24"/>
    </w:rPr>
  </w:style>
  <w:style w:type="paragraph" w:styleId="6">
    <w:name w:val="heading 6"/>
    <w:basedOn w:val="1"/>
    <w:next w:val="1"/>
    <w:link w:val="21"/>
    <w:qFormat/>
    <w:uiPriority w:val="0"/>
    <w:pPr>
      <w:numPr>
        <w:ilvl w:val="5"/>
        <w:numId w:val="1"/>
      </w:numPr>
      <w:spacing w:before="30" w:after="30" w:line="360" w:lineRule="auto"/>
      <w:outlineLvl w:val="5"/>
    </w:pPr>
    <w:rPr>
      <w:rFonts w:ascii="Arial" w:hAnsi="Arial" w:cs="Arial"/>
      <w:sz w:val="24"/>
      <w:szCs w:val="24"/>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2">
    <w:name w:val="Body Text First Indent 2"/>
    <w:qFormat/>
    <w:uiPriority w:val="0"/>
    <w:pPr>
      <w:widowControl w:val="0"/>
      <w:spacing w:line="560" w:lineRule="exact"/>
      <w:ind w:firstLine="420" w:firstLineChars="200"/>
      <w:jc w:val="both"/>
    </w:pPr>
    <w:rPr>
      <w:rFonts w:ascii="Times New Roman" w:hAnsi="Times New Roman" w:eastAsia="宋体" w:cs="仿宋_GB2312"/>
      <w:kern w:val="2"/>
      <w:sz w:val="28"/>
      <w:szCs w:val="28"/>
      <w:lang w:val="en-US" w:eastAsia="zh-CN" w:bidi="ar-SA"/>
    </w:rPr>
  </w:style>
  <w:style w:type="paragraph" w:styleId="7">
    <w:name w:val="Document Map"/>
    <w:basedOn w:val="1"/>
    <w:link w:val="22"/>
    <w:semiHidden/>
    <w:qFormat/>
    <w:uiPriority w:val="0"/>
    <w:pPr>
      <w:shd w:val="clear" w:color="auto" w:fill="000080"/>
    </w:pPr>
  </w:style>
  <w:style w:type="paragraph" w:styleId="8">
    <w:name w:val="annotation text"/>
    <w:basedOn w:val="1"/>
    <w:link w:val="23"/>
    <w:semiHidden/>
    <w:qFormat/>
    <w:uiPriority w:val="0"/>
    <w:pPr>
      <w:jc w:val="left"/>
    </w:pPr>
  </w:style>
  <w:style w:type="paragraph" w:styleId="9">
    <w:name w:val="Body Text Indent"/>
    <w:basedOn w:val="1"/>
    <w:link w:val="24"/>
    <w:qFormat/>
    <w:uiPriority w:val="0"/>
    <w:pPr>
      <w:spacing w:line="600" w:lineRule="atLeast"/>
    </w:pPr>
    <w:rPr>
      <w:sz w:val="20"/>
      <w:szCs w:val="20"/>
    </w:rPr>
  </w:style>
  <w:style w:type="paragraph" w:styleId="10">
    <w:name w:val="Plain Text"/>
    <w:basedOn w:val="1"/>
    <w:link w:val="25"/>
    <w:qFormat/>
    <w:uiPriority w:val="0"/>
    <w:rPr>
      <w:rFonts w:ascii="宋体" w:hAnsi="Courier New" w:cs="宋体"/>
    </w:rPr>
  </w:style>
  <w:style w:type="paragraph" w:styleId="11">
    <w:name w:val="Balloon Text"/>
    <w:basedOn w:val="1"/>
    <w:link w:val="26"/>
    <w:semiHidden/>
    <w:qFormat/>
    <w:uiPriority w:val="0"/>
    <w:rPr>
      <w:sz w:val="18"/>
      <w:szCs w:val="18"/>
    </w:rPr>
  </w:style>
  <w:style w:type="paragraph" w:styleId="12">
    <w:name w:val="footer"/>
    <w:basedOn w:val="1"/>
    <w:link w:val="27"/>
    <w:qFormat/>
    <w:uiPriority w:val="0"/>
    <w:pPr>
      <w:tabs>
        <w:tab w:val="center" w:pos="4153"/>
        <w:tab w:val="right" w:pos="8306"/>
      </w:tabs>
      <w:snapToGrid w:val="0"/>
      <w:jc w:val="left"/>
    </w:pPr>
    <w:rPr>
      <w:sz w:val="18"/>
      <w:szCs w:val="18"/>
    </w:rPr>
  </w:style>
  <w:style w:type="paragraph" w:styleId="13">
    <w:name w:val="header"/>
    <w:basedOn w:val="1"/>
    <w:link w:val="28"/>
    <w:qFormat/>
    <w:uiPriority w:val="0"/>
    <w:pPr>
      <w:pBdr>
        <w:bottom w:val="single" w:color="auto" w:sz="6" w:space="1"/>
      </w:pBdr>
      <w:tabs>
        <w:tab w:val="center" w:pos="4153"/>
        <w:tab w:val="right" w:pos="8306"/>
      </w:tabs>
      <w:snapToGrid w:val="0"/>
      <w:jc w:val="center"/>
    </w:pPr>
    <w:rPr>
      <w:sz w:val="18"/>
      <w:szCs w:val="18"/>
    </w:rPr>
  </w:style>
  <w:style w:type="paragraph" w:styleId="14">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15">
    <w:name w:val="annotation subject"/>
    <w:basedOn w:val="8"/>
    <w:next w:val="8"/>
    <w:link w:val="29"/>
    <w:semiHidden/>
    <w:qFormat/>
    <w:uiPriority w:val="0"/>
    <w:rPr>
      <w:b/>
      <w:bCs/>
    </w:rPr>
  </w:style>
  <w:style w:type="character" w:styleId="18">
    <w:name w:val="page number"/>
    <w:qFormat/>
    <w:uiPriority w:val="0"/>
  </w:style>
  <w:style w:type="paragraph" w:customStyle="1" w:styleId="19">
    <w:name w:val="样式 两端对齐"/>
    <w:basedOn w:val="1"/>
    <w:qFormat/>
    <w:uiPriority w:val="0"/>
    <w:rPr>
      <w:rFonts w:cs="宋体"/>
      <w:sz w:val="28"/>
      <w:szCs w:val="20"/>
    </w:rPr>
  </w:style>
  <w:style w:type="character" w:customStyle="1" w:styleId="20">
    <w:name w:val="标题 5 字符"/>
    <w:link w:val="5"/>
    <w:semiHidden/>
    <w:qFormat/>
    <w:locked/>
    <w:uiPriority w:val="0"/>
    <w:rPr>
      <w:rFonts w:eastAsia="宋体"/>
      <w:kern w:val="2"/>
      <w:sz w:val="24"/>
      <w:szCs w:val="24"/>
      <w:lang w:val="en-US" w:eastAsia="zh-CN" w:bidi="ar-SA"/>
    </w:rPr>
  </w:style>
  <w:style w:type="character" w:customStyle="1" w:styleId="21">
    <w:name w:val="标题 6 字符"/>
    <w:link w:val="6"/>
    <w:semiHidden/>
    <w:qFormat/>
    <w:locked/>
    <w:uiPriority w:val="0"/>
    <w:rPr>
      <w:rFonts w:ascii="Arial" w:hAnsi="Arial" w:eastAsia="宋体" w:cs="Arial"/>
      <w:kern w:val="2"/>
      <w:sz w:val="24"/>
      <w:szCs w:val="24"/>
      <w:lang w:val="en-US" w:eastAsia="zh-CN" w:bidi="ar-SA"/>
    </w:rPr>
  </w:style>
  <w:style w:type="character" w:customStyle="1" w:styleId="22">
    <w:name w:val="文档结构图 字符"/>
    <w:link w:val="7"/>
    <w:semiHidden/>
    <w:qFormat/>
    <w:locked/>
    <w:uiPriority w:val="0"/>
    <w:rPr>
      <w:rFonts w:eastAsia="宋体"/>
      <w:kern w:val="2"/>
      <w:sz w:val="21"/>
      <w:szCs w:val="21"/>
      <w:lang w:val="en-US" w:eastAsia="zh-CN" w:bidi="ar-SA"/>
    </w:rPr>
  </w:style>
  <w:style w:type="character" w:customStyle="1" w:styleId="23">
    <w:name w:val="批注文字 字符"/>
    <w:link w:val="8"/>
    <w:semiHidden/>
    <w:qFormat/>
    <w:locked/>
    <w:uiPriority w:val="0"/>
    <w:rPr>
      <w:rFonts w:eastAsia="宋体"/>
      <w:kern w:val="2"/>
      <w:sz w:val="21"/>
      <w:szCs w:val="21"/>
      <w:lang w:val="en-US" w:eastAsia="zh-CN" w:bidi="ar-SA"/>
    </w:rPr>
  </w:style>
  <w:style w:type="character" w:customStyle="1" w:styleId="24">
    <w:name w:val="正文文本缩进 字符"/>
    <w:link w:val="9"/>
    <w:semiHidden/>
    <w:qFormat/>
    <w:locked/>
    <w:uiPriority w:val="0"/>
    <w:rPr>
      <w:rFonts w:eastAsia="宋体"/>
      <w:kern w:val="2"/>
      <w:lang w:val="en-US" w:eastAsia="zh-CN" w:bidi="ar-SA"/>
    </w:rPr>
  </w:style>
  <w:style w:type="character" w:customStyle="1" w:styleId="25">
    <w:name w:val="纯文本 字符"/>
    <w:link w:val="10"/>
    <w:semiHidden/>
    <w:qFormat/>
    <w:locked/>
    <w:uiPriority w:val="0"/>
    <w:rPr>
      <w:rFonts w:ascii="宋体" w:hAnsi="Courier New" w:eastAsia="宋体" w:cs="宋体"/>
      <w:kern w:val="2"/>
      <w:sz w:val="21"/>
      <w:szCs w:val="21"/>
      <w:lang w:val="en-US" w:eastAsia="zh-CN" w:bidi="ar-SA"/>
    </w:rPr>
  </w:style>
  <w:style w:type="character" w:customStyle="1" w:styleId="26">
    <w:name w:val="批注框文本 字符"/>
    <w:link w:val="11"/>
    <w:semiHidden/>
    <w:qFormat/>
    <w:locked/>
    <w:uiPriority w:val="0"/>
    <w:rPr>
      <w:rFonts w:eastAsia="宋体"/>
      <w:kern w:val="2"/>
      <w:sz w:val="18"/>
      <w:szCs w:val="18"/>
      <w:lang w:val="en-US" w:eastAsia="zh-CN" w:bidi="ar-SA"/>
    </w:rPr>
  </w:style>
  <w:style w:type="character" w:customStyle="1" w:styleId="27">
    <w:name w:val="页脚 字符"/>
    <w:link w:val="12"/>
    <w:semiHidden/>
    <w:qFormat/>
    <w:locked/>
    <w:uiPriority w:val="0"/>
    <w:rPr>
      <w:rFonts w:eastAsia="宋体"/>
      <w:kern w:val="2"/>
      <w:sz w:val="18"/>
      <w:szCs w:val="18"/>
      <w:lang w:val="en-US" w:eastAsia="zh-CN" w:bidi="ar-SA"/>
    </w:rPr>
  </w:style>
  <w:style w:type="character" w:customStyle="1" w:styleId="28">
    <w:name w:val="页眉 字符"/>
    <w:link w:val="13"/>
    <w:qFormat/>
    <w:locked/>
    <w:uiPriority w:val="0"/>
    <w:rPr>
      <w:rFonts w:eastAsia="宋体"/>
      <w:kern w:val="2"/>
      <w:sz w:val="18"/>
      <w:szCs w:val="18"/>
      <w:lang w:val="en-US" w:eastAsia="zh-CN" w:bidi="ar-SA"/>
    </w:rPr>
  </w:style>
  <w:style w:type="character" w:customStyle="1" w:styleId="29">
    <w:name w:val="批注主题 字符"/>
    <w:link w:val="15"/>
    <w:semiHidden/>
    <w:qFormat/>
    <w:locked/>
    <w:uiPriority w:val="0"/>
    <w:rPr>
      <w:b/>
      <w:bCs/>
      <w:lang w:val="en-US" w:eastAsia="zh-CN" w:bidi="ar-SA"/>
    </w:rPr>
  </w:style>
  <w:style w:type="paragraph" w:customStyle="1" w:styleId="30">
    <w:name w:val="样式 我的正文 + 首行缩进:  2 字符 段后: 0.4 行"/>
    <w:basedOn w:val="1"/>
    <w:qFormat/>
    <w:uiPriority w:val="0"/>
    <w:pPr>
      <w:spacing w:after="124" w:afterLines="40" w:line="300" w:lineRule="auto"/>
      <w:ind w:firstLine="480" w:firstLineChars="200"/>
    </w:pPr>
    <w:rPr>
      <w:rFonts w:ascii="Times New Roman" w:hAnsi="Times New Roman" w:cs="宋体"/>
      <w:sz w:val="24"/>
      <w:szCs w:val="20"/>
    </w:rPr>
  </w:style>
  <w:style w:type="paragraph" w:customStyle="1" w:styleId="31">
    <w:name w:val="_Style 28"/>
    <w:unhideWhenUsed/>
    <w:qFormat/>
    <w:uiPriority w:val="99"/>
    <w:rPr>
      <w:rFonts w:ascii="Times New Roman" w:hAnsi="Times New Roman"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6574</Words>
  <Characters>6707</Characters>
  <Lines>50</Lines>
  <Paragraphs>14</Paragraphs>
  <TotalTime>12</TotalTime>
  <ScaleCrop>false</ScaleCrop>
  <LinksUpToDate>false</LinksUpToDate>
  <CharactersWithSpaces>6797</CharactersWithSpaces>
  <Application>WPS Office_11.8.2.12187_F1E327BC-269C-435d-A152-05C5408002CA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2024-02-07T11:19:00Z</dcterms:created>
  <dc:creator>yangtm</dc:creator>
  <cp:lastModifiedBy>杨天名</cp:lastModifiedBy>
  <cp:lastPrinted>2024-06-04T15:39:00Z</cp:lastPrinted>
  <dcterms:modified xsi:type="dcterms:W3CDTF">2025-07-17T06:25:28Z</dcterms:modified>
  <dc:title>附件：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2052-11.8.2.12187</vt:lpwstr>
  </property>
  <property fmtid="{D5CDD505-2E9C-101B-9397-08002B2CF9AE}" pid="3" name="ICV">
    <vt:lpwstr>603BD6DB54CC40DEB1264895812A7AF4</vt:lpwstr>
  </property>
</Properties>
</file>