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31D24">
      <w:pPr>
        <w:spacing w:line="240" w:lineRule="auto"/>
        <w:jc w:val="center"/>
      </w:pPr>
      <w:r>
        <w:drawing>
          <wp:inline distT="0" distB="0" distL="114300" distR="114300">
            <wp:extent cx="4048760" cy="3238500"/>
            <wp:effectExtent l="0" t="0" r="2540" b="0"/>
            <wp:docPr id="20" name="图片 20" descr="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7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C4E5">
      <w:pPr>
        <w:pStyle w:val="6"/>
      </w:pPr>
      <w:r>
        <w:rPr>
          <w:rFonts w:hint="eastAsia"/>
        </w:rPr>
        <w:t xml:space="preserve">图5.10 主页面 </w:t>
      </w:r>
    </w:p>
    <w:p w14:paraId="776DB3BF">
      <w:r>
        <w:rPr>
          <w:rFonts w:hint="eastAsia"/>
        </w:rPr>
        <w:t>如图5.10，进入可视化界面，可以选择训练页面或者预测对比页面，训练页面如图5.11，点击数据集可以更改训练时使用的数据集合，考虑到一次训练花费时间太长，在可视化界面等待影响用户体验，故每个数据集都提前训练好一个模型，如果数据集有变动，也可以选择再次训练。</w:t>
      </w:r>
    </w:p>
    <w:p w14:paraId="14FF364D">
      <w:r>
        <w:rPr>
          <w:rFonts w:hint="eastAsia"/>
        </w:rPr>
        <w:t>点击显示Loss图片可以查看该数据集下深度学习模型的Loss值，如图5.11所示，Loss值在预测对比页面也可以查看。</w:t>
      </w:r>
    </w:p>
    <w:p w14:paraId="2710AE18">
      <w:pPr>
        <w:spacing w:line="240" w:lineRule="auto"/>
        <w:jc w:val="center"/>
      </w:pPr>
      <w:r>
        <w:rPr>
          <w:rFonts w:hint="eastAsia"/>
        </w:rPr>
        <w:drawing>
          <wp:inline distT="0" distB="0" distL="114300" distR="114300">
            <wp:extent cx="3632835" cy="2296160"/>
            <wp:effectExtent l="0" t="0" r="12065" b="2540"/>
            <wp:docPr id="23" name="图片 23" descr="6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6.11"/>
                    <pic:cNvPicPr>
                      <a:picLocks noChangeAspect="1"/>
                    </pic:cNvPicPr>
                  </pic:nvPicPr>
                  <pic:blipFill>
                    <a:blip r:embed="rId7"/>
                    <a:srcRect r="-11" b="2580"/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FB69">
      <w:pPr>
        <w:pStyle w:val="6"/>
      </w:pPr>
      <w:r>
        <w:rPr>
          <w:rFonts w:hint="eastAsia"/>
        </w:rPr>
        <w:t>图5.11 训练页面展示</w:t>
      </w:r>
    </w:p>
    <w:p w14:paraId="2C64A894">
      <w:r>
        <w:rPr>
          <w:rFonts w:hint="eastAsia"/>
        </w:rPr>
        <w:t>返回主页面，切换到预测对比页面，同样可以选择不同的数据集，目前使用的是Simulation和Salt两个数据集，点击Test,右侧方框会直接绘制出模型预测的速度模型图片，点击PD绘制预测出的速度模型，点击GT绘制真实的速度模型以便于对比，上侧方框展示各评价指标，以提升用户体验。</w:t>
      </w:r>
    </w:p>
    <w:p w14:paraId="1E5262A9">
      <w:r>
        <w:rPr>
          <w:rFonts w:hint="eastAsia"/>
        </w:rPr>
        <w:t>如图5.12，选择Salt数据集，点击Test,显示预测速度模型。</w:t>
      </w:r>
    </w:p>
    <w:p w14:paraId="4CB91627">
      <w:pPr>
        <w:spacing w:line="240" w:lineRule="auto"/>
        <w:jc w:val="center"/>
      </w:pPr>
      <w:r>
        <w:drawing>
          <wp:inline distT="0" distB="0" distL="114300" distR="114300">
            <wp:extent cx="4963795" cy="3219450"/>
            <wp:effectExtent l="0" t="0" r="1905" b="6350"/>
            <wp:docPr id="24" name="图片 24" descr="6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6.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E4A8">
      <w:pPr>
        <w:pStyle w:val="6"/>
      </w:pPr>
      <w:r>
        <w:rPr>
          <w:rFonts w:hint="eastAsia"/>
        </w:rPr>
        <w:t>图5.12 Salt数据集的预测速度模型</w:t>
      </w:r>
    </w:p>
    <w:p w14:paraId="26012ABE">
      <w:r>
        <w:rPr>
          <w:rFonts w:hint="eastAsia"/>
        </w:rPr>
        <w:t>如图5.13，点击GT按键，显示真实速度模型。</w:t>
      </w:r>
    </w:p>
    <w:p w14:paraId="575ABAFF">
      <w:pPr>
        <w:spacing w:line="240" w:lineRule="auto"/>
        <w:jc w:val="center"/>
      </w:pPr>
      <w:r>
        <w:rPr>
          <w:rFonts w:hint="eastAsia"/>
        </w:rPr>
        <w:drawing>
          <wp:inline distT="0" distB="0" distL="114300" distR="114300">
            <wp:extent cx="5020310" cy="3256280"/>
            <wp:effectExtent l="0" t="0" r="8890" b="7620"/>
            <wp:docPr id="25" name="图片 25" descr="6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6.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B19B">
      <w:pPr>
        <w:pStyle w:val="6"/>
      </w:pPr>
      <w:r>
        <w:rPr>
          <w:rFonts w:hint="eastAsia"/>
        </w:rPr>
        <w:t>图5.13 Salt数据集的真实速度模型</w:t>
      </w:r>
    </w:p>
    <w:p w14:paraId="2447A5A6">
      <w:pPr>
        <w:spacing w:line="240" w:lineRule="auto"/>
        <w:jc w:val="center"/>
      </w:pPr>
      <w:r>
        <w:rPr>
          <w:rFonts w:hint="eastAsia"/>
        </w:rPr>
        <w:t>如图5.14，更改选择为Simulation数据集，点击Test,显示预测速度模型。</w:t>
      </w:r>
      <w:r>
        <w:drawing>
          <wp:inline distT="0" distB="0" distL="114300" distR="114300">
            <wp:extent cx="4801870" cy="3114675"/>
            <wp:effectExtent l="0" t="0" r="11430" b="9525"/>
            <wp:docPr id="26" name="图片 26" descr="6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6.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C932">
      <w:pPr>
        <w:pStyle w:val="6"/>
      </w:pPr>
      <w:r>
        <w:rPr>
          <w:rFonts w:hint="eastAsia"/>
        </w:rPr>
        <w:t>图5.14 Simulation数据集的预测速度模型</w:t>
      </w:r>
    </w:p>
    <w:p w14:paraId="71FD648D">
      <w:r>
        <w:rPr>
          <w:rFonts w:hint="eastAsia"/>
        </w:rPr>
        <w:t>如图5.15，点击GT按键，显示真实速度模型。</w:t>
      </w:r>
    </w:p>
    <w:p w14:paraId="430EFA17">
      <w:pPr>
        <w:spacing w:line="240" w:lineRule="auto"/>
        <w:jc w:val="center"/>
      </w:pPr>
      <w:r>
        <w:drawing>
          <wp:inline distT="0" distB="0" distL="114300" distR="114300">
            <wp:extent cx="4909820" cy="3185160"/>
            <wp:effectExtent l="0" t="0" r="5080" b="2540"/>
            <wp:docPr id="27" name="图片 27" descr="6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6.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53CA">
      <w:pPr>
        <w:pStyle w:val="6"/>
      </w:pPr>
      <w:r>
        <w:rPr>
          <w:rFonts w:hint="eastAsia"/>
        </w:rPr>
        <w:t>图5.15 Simulation数据集真实速度模型</w:t>
      </w:r>
    </w:p>
    <w:p w14:paraId="6990E95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D5DA4"/>
    <w:rsid w:val="14DD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40" w:lineRule="exact"/>
      <w:ind w:firstLine="420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/>
      <w:ind w:firstLine="0"/>
      <w:outlineLvl w:val="1"/>
    </w:pPr>
    <w:rPr>
      <w:rFonts w:cstheme="majorBidi"/>
      <w:b/>
      <w:bCs/>
      <w:sz w:val="30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图注"/>
    <w:basedOn w:val="1"/>
    <w:next w:val="1"/>
    <w:autoRedefine/>
    <w:qFormat/>
    <w:uiPriority w:val="0"/>
    <w:pPr>
      <w:spacing w:line="240" w:lineRule="auto"/>
      <w:jc w:val="center"/>
    </w:pPr>
    <w:rPr>
      <w:b/>
      <w:sz w:val="21"/>
    </w:rPr>
  </w:style>
  <w:style w:type="paragraph" w:customStyle="1" w:styleId="7">
    <w:name w:val="论文正文"/>
    <w:basedOn w:val="1"/>
    <w:autoRedefine/>
    <w:qFormat/>
    <w:uiPriority w:val="0"/>
    <w:pPr>
      <w:ind w:firstLine="480" w:firstLineChars="200"/>
    </w:pPr>
    <w:rPr>
      <w:color w:val="000000"/>
      <w:kern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2026-03-15T16:05:00Z</dcterms:created>
  <dc:creator>Etherious-</dc:creator>
  <cp:lastModifiedBy>Etherious-</cp:lastModifiedBy>
  <dcterms:modified xsi:type="dcterms:W3CDTF">2026-03-15T16:06:24Z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4AC18E6B656342AB9142A673FE1AFE2C_11</vt:lpwstr>
  </property>
  <property fmtid="{D5CDD505-2E9C-101B-9397-08002B2CF9AE}" pid="4" name="KSOTemplateDocerSaveRecord">
    <vt:lpwstr>eyJoZGlkIjoiMzNmMmQzZDkwNzg5OGQzMTUwYThmNmE1OGM1MDdiODQiLCJ1c2VySWQiOiIyODc0NzY4NDYifQ==</vt:lpwstr>
  </property>
</Properties>
</file>