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*AI Models: Performance, Capabilities, Accuracy, Speed, Energy Use, and Token Economics*</w:t>
      </w:r>
    </w:p>
    <w:p>
      <w:r>
        <w:rPr>
          <w:b/>
        </w:rPr>
        <w:t>Reviewer role:</w:t>
      </w:r>
      <w:r>
        <w:t xml:space="preserve"> External referee, reviewing as a demanding-but-fair reader for a strong survey venue — the bar applied is that of a </w:t>
      </w:r>
      <w:r>
        <w:rPr>
          <w:i/>
        </w:rPr>
        <w:t>Computing Surveys</w:t>
      </w:r>
      <w:r>
        <w:t>-style reference work whose value rests on the reproducibility of its evidence layer rather than on novelty of result.</w:t>
      </w:r>
    </w:p>
    <w:p>
      <w:r>
        <w:rPr>
          <w:b/>
        </w:rPr>
        <w:t>Recommendation:</w:t>
      </w:r>
      <w:r>
        <w:t xml:space="preserve"> </w:t>
      </w:r>
      <w:r>
        <w:rPr>
          <w:b/>
        </w:rPr>
        <w:t>Minor revisions</w:t>
      </w:r>
      <w:r>
        <w:t xml:space="preserve"> — the methodological apparatus is the best in the CoLab portfolio; what needs work is the gap between that apparatus and how little data currently sits underneath it.</w:t>
      </w:r>
    </w:p>
    <w:p>
      <w:r>
        <w:rPr>
          <w:b/>
        </w:rPr>
        <w:t>Date:</w:t>
      </w:r>
      <w:r>
        <w:t xml:space="preserve"> 22 July 2026</w:t>
      </w:r>
    </w:p>
    <w:p>
      <w:r>
        <w:rPr>
          <w:b/>
        </w:rPr>
        <w:t>Reviewed artefact:</w:t>
      </w:r>
      <w:r>
        <w:t xml:space="preserve"> </w:t>
      </w:r>
      <w:r>
        <w:rPr>
          <w:rFonts w:ascii="Courier New" w:hAnsi="Courier New"/>
        </w:rPr>
        <w:t>Ethical-Tech-CoLab/AI-Models-Research</w:t>
      </w:r>
      <w:r>
        <w:t xml:space="preserve"> @ main (README, </w:t>
      </w:r>
      <w:r>
        <w:rPr>
          <w:rFonts w:ascii="Courier New" w:hAnsi="Courier New"/>
        </w:rPr>
        <w:t>research-methodology.md</w:t>
      </w:r>
      <w:r>
        <w:t xml:space="preserve">, </w:t>
      </w:r>
      <w:r>
        <w:rPr>
          <w:rFonts w:ascii="Courier New" w:hAnsi="Courier New"/>
        </w:rPr>
        <w:t>limitations.md</w:t>
      </w:r>
      <w:r>
        <w:t xml:space="preserve">, </w:t>
      </w:r>
      <w:r>
        <w:rPr>
          <w:rFonts w:ascii="Courier New" w:hAnsi="Courier New"/>
        </w:rPr>
        <w:t>data/*.csv</w:t>
      </w:r>
      <w:r>
        <w:t>, 21 handbook chapters) and the report as published at ethicaltechcolab.org/publications/ai-models-research.</w:t>
      </w:r>
    </w:p>
    <w:p>
      <w:pPr>
        <w:pStyle w:val="Heading2"/>
      </w:pPr>
      <w:r>
        <w:t>Summary of the submission</w:t>
      </w:r>
    </w:p>
    <w:p>
      <w:r>
        <w:t>The repository is a technical reference and comparative survey of contemporary proprietary and open-weight model families, organised around eleven research questions spanning architecture, benchmarking, factuality, reasoning cost, agentic reliability, long context, tokenisation, inference, latency, token economics, energy use, hardware, open-versus-closed licensing, security, and model selection. Its distinguishing commitment is an explicit evidence taxonomy — Grade A (independently verified measurement), Grade B (institutional primary research and official technical disclosure), Grade C (provider-reported marketing) — applied to every quantitative claim, with a hard research cut-off (2026-07-22), a machine-readable data layer (</w:t>
      </w:r>
      <w:r>
        <w:rPr>
          <w:rFonts w:ascii="Courier New" w:hAnsi="Courier New"/>
        </w:rPr>
        <w:t>models.csv</w:t>
      </w:r>
      <w:r>
        <w:t xml:space="preserve">, </w:t>
      </w:r>
      <w:r>
        <w:rPr>
          <w:rFonts w:ascii="Courier New" w:hAnsi="Courier New"/>
        </w:rPr>
        <w:t>pricing.csv</w:t>
      </w:r>
      <w:r>
        <w:t xml:space="preserve">, </w:t>
      </w:r>
      <w:r>
        <w:rPr>
          <w:rFonts w:ascii="Courier New" w:hAnsi="Courier New"/>
        </w:rPr>
        <w:t>benchmarks.csv</w:t>
      </w:r>
      <w:r>
        <w:t xml:space="preserve">, </w:t>
      </w:r>
      <w:r>
        <w:rPr>
          <w:rFonts w:ascii="Courier New" w:hAnsi="Courier New"/>
        </w:rPr>
        <w:t>context-windows.csv</w:t>
      </w:r>
      <w:r>
        <w:t xml:space="preserve">, </w:t>
      </w:r>
      <w:r>
        <w:rPr>
          <w:rFonts w:ascii="Courier New" w:hAnsi="Courier New"/>
        </w:rPr>
        <w:t>energy-studies.csv</w:t>
      </w:r>
      <w:r>
        <w:t xml:space="preserve">, </w:t>
      </w:r>
      <w:r>
        <w:rPr>
          <w:rFonts w:ascii="Courier New" w:hAnsi="Courier New"/>
        </w:rPr>
        <w:t>sources.csv</w:t>
      </w:r>
      <w:r>
        <w:t xml:space="preserve">), JSON schemas for three of those tables, and a build that fails on a lint or citation violation. Claims that cannot meet the standard are recorded as </w:t>
      </w:r>
      <w:r>
        <w:rPr>
          <w:rFonts w:ascii="Courier New" w:hAnsi="Courier New"/>
        </w:rPr>
        <w:t>Not publicly disclosed</w:t>
      </w:r>
      <w:r>
        <w:t xml:space="preserve"> or </w:t>
      </w:r>
      <w:r>
        <w:rPr>
          <w:rFonts w:ascii="Courier New" w:hAnsi="Courier New"/>
        </w:rPr>
        <w:t>Insufficient independent evidence</w:t>
      </w:r>
      <w:r>
        <w:t xml:space="preserve"> rather than estimated.</w:t>
      </w:r>
    </w:p>
    <w:p>
      <w:r>
        <w:t xml:space="preserve">The contribution is not a finding about which model is best. It is a </w:t>
      </w:r>
      <w:r>
        <w:rPr>
          <w:i/>
        </w:rPr>
        <w:t>method for refusing to say</w:t>
      </w:r>
      <w:r>
        <w:t xml:space="preserve"> which model is best without evidence — and, as it turns out, a demonstration of how little survives that refusal.</w:t>
      </w:r>
    </w:p>
    <w:p>
      <w:pPr>
        <w:pStyle w:val="Heading2"/>
      </w:pPr>
      <w:r>
        <w:t>Strengths</w:t>
      </w:r>
    </w:p>
    <w:p>
      <w:pPr>
        <w:pStyle w:val="ListBullet"/>
      </w:pPr>
      <w:r>
        <w:rPr>
          <w:b/>
        </w:rPr>
        <w:t>`limitations.md` is the strongest single document in the CoLab's published work.</w:t>
      </w:r>
      <w:r>
        <w:t xml:space="preserve"> §1.1's verification-asymmetry argument — that Grade A evidence is systematically more available for open-weight models, so any statement of the form "open-weight models are better characterised on dimension X" reflects data availability rather than model behaviour — is a genuinely sharp methodological observation, correctly stated, with the right mitigation (never aggregate across grades). §1.2 on provider-selected evaluation conditions is equally good: Grade C results "establish an upper bound on what a provider is willing to claim." Placing this at the top level rather than in an appendix, on the stated grounds that a reader who skips it will misread the tables, is the right call and should be defended in any revision.</w:t>
      </w:r>
    </w:p>
    <w:p>
      <w:pPr>
        <w:pStyle w:val="ListBullet"/>
      </w:pPr>
      <w:r>
        <w:rPr>
          <w:b/>
        </w:rPr>
        <w:t>The evidence taxonomy is applied, not merely announced.</w:t>
      </w:r>
      <w:r>
        <w:t xml:space="preserve"> Every one of the nine rows in </w:t>
      </w:r>
      <w:r>
        <w:rPr>
          <w:rFonts w:ascii="Courier New" w:hAnsi="Courier New"/>
        </w:rPr>
        <w:t>benchmarks.csv</w:t>
      </w:r>
      <w:r>
        <w:t xml:space="preserve"> is Grade C, and every one carries a note that harness, sampling policy, and tool permissions are undisclosed and that the row is therefore "excluded from ranked comparison." Two rows go further and flag that the figure is a </w:t>
      </w:r>
      <w:r>
        <w:rPr>
          <w:i/>
        </w:rPr>
        <w:t>competitor's</w:t>
      </w:r>
      <w:r>
        <w:t xml:space="preserve"> score published on a rival's launch page under the rival's harness. Most surveys of this kind quietly launder exactly those numbers into a leaderboard. This one does not.</w:t>
      </w:r>
    </w:p>
    <w:p>
      <w:pPr>
        <w:pStyle w:val="ListBullet"/>
      </w:pPr>
      <w:r>
        <w:rPr>
          <w:b/>
        </w:rPr>
        <w:t>The Anthropic rows check out.</w:t>
      </w:r>
      <w:r>
        <w:t xml:space="preserve"> I verified the three Anthropic entries against current provider documentation: Claude Fable 5 at $10 / $50 per million input/output tokens, Claude Opus 4.8 at $5 / $25, Claude Sonnet 5 at $3 / $15 with an introductory rate through 2026-08-31 — all correct, including the introductory-price note; and 1,000,000-token context with 128,000 max output for all three, also correct. The Sonnet 5 note that the provider states its tokenizer can produce roughly 30 percent more tokens for the same text than its predecessor is likewise accurate and is exactly the kind of detail a procurement reader needs and rarely gets. Whatever else needs fixing, the numbers that are there are right [1][2].</w:t>
      </w:r>
    </w:p>
    <w:p>
      <w:pPr>
        <w:pStyle w:val="ListBullet"/>
      </w:pPr>
      <w:r>
        <w:rPr>
          <w:b/>
        </w:rPr>
        <w:t>The data layer is a real research asset.</w:t>
      </w:r>
      <w:r>
        <w:t xml:space="preserve"> CSVs with JSON schemas, stable source IDs joining to </w:t>
      </w:r>
      <w:r>
        <w:rPr>
          <w:rFonts w:ascii="Courier New" w:hAnsi="Courier New"/>
        </w:rPr>
        <w:t>sources.csv</w:t>
      </w:r>
      <w:r>
        <w:t xml:space="preserve">, per-row </w:t>
      </w:r>
      <w:r>
        <w:rPr>
          <w:rFonts w:ascii="Courier New" w:hAnsi="Courier New"/>
        </w:rPr>
        <w:t>evidence_grade</w:t>
      </w:r>
      <w:r>
        <w:t xml:space="preserve"> and </w:t>
      </w:r>
      <w:r>
        <w:rPr>
          <w:rFonts w:ascii="Courier New" w:hAnsi="Courier New"/>
        </w:rPr>
        <w:t>access_date</w:t>
      </w:r>
      <w:r>
        <w:t xml:space="preserve">, and a strict build gate mean this survey can be </w:t>
      </w:r>
      <w:r>
        <w:rPr>
          <w:i/>
        </w:rPr>
        <w:t>updated</w:t>
      </w:r>
      <w:r>
        <w:t xml:space="preserve"> rather than rewritten when the next model ships. Very few AI-landscape surveys are built to survive their own cut-off date; this one is.</w:t>
      </w:r>
    </w:p>
    <w:p>
      <w:pPr>
        <w:pStyle w:val="ListBullet"/>
      </w:pPr>
      <w:r>
        <w:rPr>
          <w:b/>
        </w:rPr>
        <w:t>Naming the cut-off in the first line of every file</w:t>
      </w:r>
      <w:r>
        <w:t xml:space="preserve"> is a small discipline with outsized effect in a field where a six-month-old survey is actively misleading.</w:t>
      </w:r>
    </w:p>
    <w:p>
      <w:pPr>
        <w:pStyle w:val="Heading2"/>
      </w:pPr>
      <w:r>
        <w:t>Major issues</w:t>
      </w:r>
    </w:p>
    <w:p>
      <w:pPr>
        <w:pStyle w:val="ListNumber"/>
      </w:pPr>
      <w:r>
        <w:rPr>
          <w:b/>
        </w:rPr>
        <w:t>After the evidence rules are applied, almost nothing is left to compare — and the survey does not say so plainly enough.</w:t>
      </w:r>
      <w:r>
        <w:t xml:space="preserve"> </w:t>
      </w:r>
      <w:r>
        <w:rPr>
          <w:rFonts w:ascii="Courier New" w:hAnsi="Courier New"/>
        </w:rPr>
        <w:t>benchmarks.csv</w:t>
      </w:r>
      <w:r>
        <w:t xml:space="preserve"> holds nine rows, all Grade C, all individually marked "excluded from ranked comparison." That is not a small dataset; it is an </w:t>
      </w:r>
      <w:r>
        <w:rPr>
          <w:i/>
        </w:rPr>
        <w:t>empty</w:t>
      </w:r>
      <w:r>
        <w:t xml:space="preserve"> one for the survey's stated purpose, because zero rows are eligible for the comparison the survey exists to support. RQ2 ("to what extent do published benchmark scores predict task performance under procurement conditions?") is therefore answered entirely in prose, with no row in the evidence layer that could bear on it either way. This is an honest and even important result — the strict reading is </w:t>
      </w:r>
      <w:r>
        <w:rPr>
          <w:i/>
        </w:rPr>
        <w:t>"as of July 2026, no publicly available benchmark evidence for frontier commercial models meets a reproducibility bar"</w:t>
      </w:r>
      <w:r>
        <w:t xml:space="preserve"> — but it currently reads as a data-collection gap rather than as the survey's central finding. </w:t>
      </w:r>
      <w:r>
        <w:rPr>
          <w:i/>
        </w:rPr>
        <w:t>Fix:</w:t>
      </w:r>
      <w:r>
        <w:t xml:space="preserve"> promote it. State in the README's Key Findings, in one sentence, how many rows survive the grading rules for each research question, and say explicitly that the zero-eligible-rows result for benchmarks is a finding about the field's disclosure practices, not a to-do item.</w:t>
      </w:r>
    </w:p>
    <w:p>
      <w:pPr>
        <w:pStyle w:val="ListNumber"/>
      </w:pPr>
      <w:r>
        <w:rPr>
          <w:b/>
        </w:rPr>
        <w:t>`energy-studies.csv` contains a header row and no data.</w:t>
      </w:r>
      <w:r>
        <w:t xml:space="preserve"> Energy use is named in the title, has its own chapter (16), its own schema column set (energy per token, per query, PUE, grid region, carbon intensity, measurement method, uncertainty), and is one of the survey's advertised dimensions. The table is empty. Chapter 16 therefore rests entirely on prose and secondary citation while the machine-readable layer says nothing. Given the CoLab already has a full report on AI's carbon footprint, this is also a missed internal join. </w:t>
      </w:r>
      <w:r>
        <w:rPr>
          <w:i/>
        </w:rPr>
        <w:t>Fix:</w:t>
      </w:r>
      <w:r>
        <w:t xml:space="preserve"> either populate the table with the handful of published measurement studies that do meet a Grade A/B bar (the schema is already correct for them), or state at the top of chapter 16 and in the README that the energy data layer is deliberately empty and why — an empty table with no explanation reads as unfinished, not as disciplined.</w:t>
      </w:r>
    </w:p>
    <w:p>
      <w:pPr>
        <w:pStyle w:val="ListNumber"/>
      </w:pPr>
      <w:r>
        <w:rPr>
          <w:b/>
        </w:rPr>
        <w:t>`Not publicly disclosed` is used in places where the provider does disclose.</w:t>
      </w:r>
      <w:r>
        <w:t xml:space="preserve"> On all three Anthropic rows in </w:t>
      </w:r>
      <w:r>
        <w:rPr>
          <w:rFonts w:ascii="Courier New" w:hAnsi="Courier New"/>
        </w:rPr>
        <w:t>pricing.csv</w:t>
      </w:r>
      <w:r>
        <w:t xml:space="preserve">, </w:t>
      </w:r>
      <w:r>
        <w:rPr>
          <w:rFonts w:ascii="Courier New" w:hAnsi="Courier New"/>
        </w:rPr>
        <w:t>cached_input_price_per_1m</w:t>
      </w:r>
      <w:r>
        <w:t xml:space="preserve">, </w:t>
      </w:r>
      <w:r>
        <w:rPr>
          <w:rFonts w:ascii="Courier New" w:hAnsi="Courier New"/>
        </w:rPr>
        <w:t>reasoning_token_billing</w:t>
      </w:r>
      <w:r>
        <w:t xml:space="preserve">, and </w:t>
      </w:r>
      <w:r>
        <w:rPr>
          <w:rFonts w:ascii="Courier New" w:hAnsi="Courier New"/>
        </w:rPr>
        <w:t>batch_discount_percent</w:t>
      </w:r>
      <w:r>
        <w:t xml:space="preserve"> are recorded as </w:t>
      </w:r>
      <w:r>
        <w:rPr>
          <w:rFonts w:ascii="Courier New" w:hAnsi="Courier New"/>
        </w:rPr>
        <w:t>Not publicly disclosed</w:t>
      </w:r>
      <w:r>
        <w:t xml:space="preserve">. All three are documented by that provider: cached input is priced at a published multiple of base input (cache reads at roughly 0.1×, cache writes at 1.25× for the short TTL and 2× for the long one), batch processing is documented at a 50 percent discount, and thinking/reasoning tokens are billed as output tokens [1][3]. The same pattern appears in </w:t>
      </w:r>
      <w:r>
        <w:rPr>
          <w:rFonts w:ascii="Courier New" w:hAnsi="Courier New"/>
        </w:rPr>
        <w:t>models.csv</w:t>
      </w:r>
      <w:r>
        <w:t xml:space="preserve">, where </w:t>
      </w:r>
      <w:r>
        <w:rPr>
          <w:rFonts w:ascii="Courier New" w:hAnsi="Courier New"/>
        </w:rPr>
        <w:t>tokenizer</w:t>
      </w:r>
      <w:r>
        <w:t xml:space="preserve"> is </w:t>
      </w:r>
      <w:r>
        <w:rPr>
          <w:rFonts w:ascii="Courier New" w:hAnsi="Courier New"/>
        </w:rPr>
        <w:t>Not publicly disclosed</w:t>
      </w:r>
      <w:r>
        <w:t xml:space="preserve"> for the Opus 4.8 row while the Sonnet 5 row in the same block does carry a tokenizer note — the two models share a documented tokenizer lineage. This matters more here than it would in an ordinary survey, because the paper's own taxonomy turns on the difference between </w:t>
      </w:r>
      <w:r>
        <w:rPr>
          <w:i/>
        </w:rPr>
        <w:t>the provider did not disclose this</w:t>
      </w:r>
      <w:r>
        <w:t xml:space="preserve"> and </w:t>
      </w:r>
      <w:r>
        <w:rPr>
          <w:i/>
        </w:rPr>
        <w:t>our source review did not extract it</w:t>
      </w:r>
      <w:r>
        <w:t xml:space="preserve">. Recording the second as the first converts a research gap into an unearned finding about provider transparency. </w:t>
      </w:r>
      <w:r>
        <w:rPr>
          <w:i/>
        </w:rPr>
        <w:t>Fix:</w:t>
      </w:r>
      <w:r>
        <w:t xml:space="preserve"> add a fourth value to the vocabulary — </w:t>
      </w:r>
      <w:r>
        <w:rPr>
          <w:rFonts w:ascii="Courier New" w:hAnsi="Courier New"/>
        </w:rPr>
        <w:t>Not extracted</w:t>
      </w:r>
      <w:r>
        <w:t xml:space="preserve"> or </w:t>
      </w:r>
      <w:r>
        <w:rPr>
          <w:rFonts w:ascii="Courier New" w:hAnsi="Courier New"/>
        </w:rPr>
        <w:t>Not yet reviewed</w:t>
      </w:r>
      <w:r>
        <w:t xml:space="preserve"> — and re-audit every </w:t>
      </w:r>
      <w:r>
        <w:rPr>
          <w:rFonts w:ascii="Courier New" w:hAnsi="Courier New"/>
        </w:rPr>
        <w:t>Not publicly disclosed</w:t>
      </w:r>
      <w:r>
        <w:t xml:space="preserve"> cell against the provider's own pricing and docs pages before publication. §9 of the README should define the new value alongside the existing three.</w:t>
      </w:r>
    </w:p>
    <w:p>
      <w:pPr>
        <w:pStyle w:val="ListNumber"/>
      </w:pPr>
      <w:r>
        <w:rPr>
          <w:b/>
        </w:rPr>
        <w:t>A blanket caveat that is false for an entire provider block.</w:t>
      </w:r>
      <w:r>
        <w:t xml:space="preserve"> Every row in </w:t>
      </w:r>
      <w:r>
        <w:rPr>
          <w:rFonts w:ascii="Courier New" w:hAnsi="Courier New"/>
        </w:rPr>
        <w:t>models.csv</w:t>
      </w:r>
      <w:r>
        <w:t xml:space="preserve"> carries the note: </w:t>
      </w:r>
      <w:r>
        <w:rPr>
          <w:i/>
        </w:rPr>
        <w:t>"model_id is a normalised slug: the source review records the product name, not the exact API model string. Replace with the exact string when the API reference is read."</w:t>
      </w:r>
      <w:r>
        <w:t xml:space="preserve"> For the three Anthropic rows this is not true — </w:t>
      </w:r>
      <w:r>
        <w:rPr>
          <w:rFonts w:ascii="Courier New" w:hAnsi="Courier New"/>
        </w:rPr>
        <w:t>claude-fable-5</w:t>
      </w:r>
      <w:r>
        <w:t xml:space="preserve">, </w:t>
      </w:r>
      <w:r>
        <w:rPr>
          <w:rFonts w:ascii="Courier New" w:hAnsi="Courier New"/>
        </w:rPr>
        <w:t>claude-opus-4-8</w:t>
      </w:r>
      <w:r>
        <w:t xml:space="preserve">, and </w:t>
      </w:r>
      <w:r>
        <w:rPr>
          <w:rFonts w:ascii="Courier New" w:hAnsi="Courier New"/>
        </w:rPr>
        <w:t>claude-sonnet-5</w:t>
      </w:r>
      <w:r>
        <w:t xml:space="preserve"> </w:t>
      </w:r>
      <w:r>
        <w:rPr>
          <w:b/>
        </w:rPr>
        <w:t>are</w:t>
      </w:r>
      <w:r>
        <w:t xml:space="preserve"> the exact API model strings, complete as written. A caveat applied uniformly where it holds for some providers and not others teaches the reader to discount rows that are in fact exact, which is the opposite of what an evidence-graded dataset is for. </w:t>
      </w:r>
      <w:r>
        <w:rPr>
          <w:i/>
        </w:rPr>
        <w:t>Fix:</w:t>
      </w:r>
      <w:r>
        <w:t xml:space="preserve"> make the caveat per-row and drop it where the ID has been confirmed against the provider's API reference.</w:t>
      </w:r>
    </w:p>
    <w:p>
      <w:pPr>
        <w:pStyle w:val="ListNumber"/>
      </w:pPr>
      <w:r>
        <w:rPr>
          <w:b/>
        </w:rPr>
        <w:t>The low-cost tier of a major family is missing.</w:t>
      </w:r>
      <w:r>
        <w:t xml:space="preserve"> </w:t>
      </w:r>
      <w:r>
        <w:rPr>
          <w:rFonts w:ascii="Courier New" w:hAnsi="Courier New"/>
        </w:rPr>
        <w:t>models.csv</w:t>
      </w:r>
      <w:r>
        <w:t xml:space="preserve"> carries three Anthropic rows, all 1M-context frontier tiers. The current small/fast tier — Claude Haiku 4.5, 200K context, $1 / $5 per million tokens — is absent [1]. Two consequences, both structural rather than cosmetic. First, the survey's stated purpose is selection "given a defined task, a defined budget, and a defined deployment constraint," and it has dropped the budget option from one of the two largest closed-weight families, so the model-selection matrix (chapter 20) cannot express a cheap-tier recommendation there. Second, Haiku 4.5 is the </w:t>
      </w:r>
      <w:r>
        <w:rPr>
          <w:i/>
        </w:rPr>
        <w:t>only</w:t>
      </w:r>
      <w:r>
        <w:t xml:space="preserve"> current Claude model whose context window is not 1M — so its omission removes the one in-family counterexample to the impression, given by every remaining row, that advertised context has converged at a million tokens. That impression is precisely what chapter 11 exists to complicate. </w:t>
      </w:r>
      <w:r>
        <w:rPr>
          <w:i/>
        </w:rPr>
        <w:t>Fix:</w:t>
      </w:r>
      <w:r>
        <w:t xml:space="preserve"> add the row; then check the other providers' blocks for the same frontier-tier-only bias.</w:t>
      </w:r>
    </w:p>
    <w:p>
      <w:pPr>
        <w:pStyle w:val="Heading2"/>
      </w:pPr>
      <w:r>
        <w:t>Minor issues</w:t>
      </w:r>
    </w:p>
    <w:p>
      <w:pPr>
        <w:pStyle w:val="ListNumber"/>
      </w:pPr>
      <w:r>
        <w:rPr>
          <w:b/>
        </w:rPr>
        <w:t>The build-status line contradicts the repository.</w:t>
      </w:r>
      <w:r>
        <w:t xml:space="preserve"> README line 8 states </w:t>
      </w:r>
      <w:r>
        <w:rPr>
          <w:i/>
        </w:rPr>
        <w:t>"Build status: Phase 1 (foundation) complete. Phases 2 to 5 are not yet written"</w:t>
      </w:r>
      <w:r>
        <w:t xml:space="preserve"> — while the most recent commit is "feat: Phase 2, populate the data layer and write thirteen chapters," 21 chapter files exist, and the phase table in §18 of the same README reports Phase 5 as "Partial. The full gate passes." The headline contradicts the table roughly 290 lines below it.</w:t>
      </w:r>
    </w:p>
    <w:p>
      <w:pPr>
        <w:pStyle w:val="ListNumber"/>
      </w:pPr>
      <w:r>
        <w:rPr>
          <w:b/>
        </w:rPr>
        <w:t>Sample sizes are not stated anywhere a reader will see them.</w:t>
      </w:r>
      <w:r>
        <w:t xml:space="preserve"> 18 model rows, 8 pricing rows, 9 benchmark rows, 14 context-window rows, 0 energy rows, 41 sources. A one-line inventory table in the README — table, rows, grade distribution — would let a reader calibrate before reading a single chapter, and would make Major issue 1 self-evident.</w:t>
      </w:r>
    </w:p>
    <w:p>
      <w:pPr>
        <w:pStyle w:val="ListNumber"/>
      </w:pPr>
      <w:r>
        <w:rPr>
          <w:b/>
        </w:rPr>
        <w:t>Family-level rows sit in a per-model table.</w:t>
      </w:r>
      <w:r>
        <w:t xml:space="preserve"> The </w:t>
      </w:r>
      <w:r>
        <w:rPr>
          <w:rFonts w:ascii="Courier New" w:hAnsi="Courier New"/>
        </w:rPr>
        <w:t>qwen-3-6</w:t>
      </w:r>
      <w:r>
        <w:t xml:space="preserve"> and </w:t>
      </w:r>
      <w:r>
        <w:rPr>
          <w:rFonts w:ascii="Courier New" w:hAnsi="Courier New"/>
        </w:rPr>
        <w:t>qwen-3-7</w:t>
      </w:r>
      <w:r>
        <w:t xml:space="preserve"> rows are explicitly family-level ("split into per-model rows when the model list is extracted") while every other row is a single model. Any per-model count computed from this file is therefore wrong by an unknown amount.</w:t>
      </w:r>
    </w:p>
    <w:p>
      <w:pPr>
        <w:pStyle w:val="ListNumber"/>
      </w:pPr>
      <w:r>
        <w:rPr>
          <w:b/>
        </w:rPr>
        <w:t>`release_date` is `Not publicly disclosed` for all 18 models.</w:t>
      </w:r>
      <w:r>
        <w:t xml:space="preserve"> Release dates are among the most reliably public facts about a model, and they are load-bearing for a survey with a hard cut-off — a reader cannot tell which rows are three days old and which are eighteen months old. This is likely the same extraction gap as Major issue 3.</w:t>
      </w:r>
    </w:p>
    <w:p>
      <w:pPr>
        <w:pStyle w:val="ListNumber"/>
      </w:pPr>
      <w:r>
        <w:rPr>
          <w:b/>
        </w:rPr>
        <w:t>Benchmark scores carry no uncertainty and no `samples_n`.</w:t>
      </w:r>
      <w:r>
        <w:t xml:space="preserve"> Every row records </w:t>
      </w:r>
      <w:r>
        <w:rPr>
          <w:rFonts w:ascii="Courier New" w:hAnsi="Courier New"/>
        </w:rPr>
        <w:t>unstated</w:t>
      </w:r>
      <w:r>
        <w:t xml:space="preserve"> for sampling policy and sample count. The schema is right to have the columns; the survey should say once, in chapter 9, that a single reported accuracy figure without a sample count or interval is not a measurement, and that this is why the rows are unranked.</w:t>
      </w:r>
    </w:p>
    <w:p>
      <w:pPr>
        <w:pStyle w:val="Heading2"/>
      </w:pPr>
      <w:r>
        <w:t>What's missing</w:t>
      </w:r>
    </w:p>
    <w:p>
      <w:pPr>
        <w:pStyle w:val="ListBullet"/>
      </w:pPr>
      <w:r>
        <w:rPr>
          <w:b/>
        </w:rPr>
        <w:t>A worked selection example.</w:t>
      </w:r>
      <w:r>
        <w:t xml:space="preserve"> Chapter 20 offers a model-selection framework; the survey never runs it. One named scenario — a stated task, a stated monthly token volume, a stated latency ceiling and deployment constraint — carried end to end to a recommendation, with every cell's evidence grade shown, would demonstrate the whole apparatus in two pages and would surface exactly the gaps (missing cheap tier, empty energy table) that Major issues 2 and 5 identify.</w:t>
      </w:r>
    </w:p>
    <w:p>
      <w:pPr>
        <w:pStyle w:val="ListBullet"/>
      </w:pPr>
      <w:r>
        <w:rPr>
          <w:b/>
        </w:rPr>
        <w:t>A join to the CoLab's own prior work.</w:t>
      </w:r>
      <w:r>
        <w:t xml:space="preserve"> </w:t>
      </w:r>
      <w:r>
        <w:rPr>
          <w:rFonts w:ascii="Courier New" w:hAnsi="Courier New"/>
        </w:rPr>
        <w:t>ai-carbon-footprint</w:t>
      </w:r>
      <w:r>
        <w:t xml:space="preserve"> is a completed CoLab report on the same subject as chapter 16, and it received a peer review flagging a large arithmetic error in its headline inference-energy figures. Chapter 16 should cite it, and should say which of its figures survive.</w:t>
      </w:r>
    </w:p>
    <w:p>
      <w:pPr>
        <w:pStyle w:val="ListBullet"/>
      </w:pPr>
      <w:r>
        <w:rPr>
          <w:b/>
        </w:rPr>
        <w:t>Anything Grade A.</w:t>
      </w:r>
      <w:r>
        <w:t xml:space="preserve"> The taxonomy's top tier appears to be unpopulated across every table. If no claim in the survey currently rests on independently verified measurement, say so in one sentence in the README — it is a striking statement about the field and the survey has earned the right to make it.</w:t>
      </w:r>
    </w:p>
    <w:p>
      <w:pPr>
        <w:pStyle w:val="ListBullet"/>
      </w:pPr>
      <w:r>
        <w:rPr>
          <w:b/>
        </w:rPr>
        <w:t>A staleness policy.</w:t>
      </w:r>
      <w:r>
        <w:t xml:space="preserve"> The cut-off date is stated everywhere; what is not stated is what a reader in six months should do. One line — how often the data layer is re-reviewed, and how a reader can tell whether the copy they are holding is current — costs nothing and is what makes the machine-readable layer worth having.</w:t>
      </w:r>
    </w:p>
    <w:p>
      <w:pPr>
        <w:pStyle w:val="Heading2"/>
      </w:pPr>
      <w:r>
        <w:t>Internal inconsistencies</w:t>
      </w:r>
    </w:p>
    <w:p>
      <w:pPr>
        <w:pStyle w:val="ListNumber"/>
      </w:pPr>
      <w:r>
        <w:rPr>
          <w:b/>
        </w:rPr>
        <w:t>Phase 1 complete / Phases 2–5 unwritten (README line 8) versus the §18 table</w:t>
      </w:r>
      <w:r>
        <w:t xml:space="preserve"> reporting Phase 5 as partial with the full gate passing, plus 21 chapters and a populated data layer in the tree. (See Minor issue 1.)</w:t>
      </w:r>
    </w:p>
    <w:p>
      <w:pPr>
        <w:pStyle w:val="ListNumber"/>
      </w:pPr>
      <w:r>
        <w:rPr>
          <w:b/>
        </w:rPr>
        <w:t>"Every quantitative claim in this repository carries a source, a date, and an evidence grade" (§1) versus the empty `energy-studies.csv`.</w:t>
      </w:r>
      <w:r>
        <w:t xml:space="preserve"> Chapter 16's energy claims are not represented in the data layer at all, so they carry a source and a date only in prose, and no grade. Either the claim in §1 needs a scope qualifier or the table needs rows.</w:t>
      </w:r>
    </w:p>
    <w:p>
      <w:pPr>
        <w:pStyle w:val="ListNumber"/>
      </w:pPr>
      <w:r>
        <w:rPr>
          <w:b/>
        </w:rPr>
        <w:t>`Not publicly disclosed` meaning two different things</w:t>
      </w:r>
      <w:r>
        <w:t xml:space="preserve"> — provider silence in most rows, unextracted-by-us in the Anthropic pricing rows. (Major issue 3.)</w:t>
      </w:r>
    </w:p>
    <w:p>
      <w:pPr>
        <w:pStyle w:val="ListNumber"/>
      </w:pPr>
      <w:r>
        <w:rPr>
          <w:b/>
        </w:rPr>
        <w:t>Uniform `model_id` slug caveat versus the exact-string Anthropic IDs.</w:t>
      </w:r>
      <w:r>
        <w:t xml:space="preserve"> (Major issue 4.)</w:t>
      </w:r>
    </w:p>
    <w:p>
      <w:pPr>
        <w:pStyle w:val="ListNumber"/>
      </w:pPr>
      <w:r>
        <w:rPr>
          <w:b/>
        </w:rPr>
        <w:t>Grade C rows are "recorded rather than excluded" (`limitations.md` §1.2) and simultaneously "excluded from ranked comparison" (every `benchmarks.csv` note).</w:t>
      </w:r>
      <w:r>
        <w:t xml:space="preserve"> Both are defensible and they are in fact compatible — recorded in the dataset, excluded from rankings — but the word </w:t>
      </w:r>
      <w:r>
        <w:rPr>
          <w:i/>
        </w:rPr>
        <w:t>excluded</w:t>
      </w:r>
      <w:r>
        <w:t xml:space="preserve"> is doing opposite work in the two places, and a reader moving between the methodology and the data will trip on it. Say once, in §9, that Grade C rows are recorded and displayed but never ranked.</w:t>
      </w:r>
    </w:p>
    <w:p>
      <w:pPr>
        <w:pStyle w:val="Heading2"/>
      </w:pPr>
      <w:r>
        <w:t>Prioritized next steps</w:t>
      </w:r>
    </w:p>
    <w:p>
      <w:r>
        <w:t>If there is time for only three things:</w:t>
      </w:r>
    </w:p>
    <w:p>
      <w:pPr>
        <w:pStyle w:val="ListNumber"/>
      </w:pPr>
      <w:r>
        <w:rPr>
          <w:b/>
        </w:rPr>
        <w:t>State the yield.</w:t>
      </w:r>
      <w:r>
        <w:t xml:space="preserve"> One table in the README: per research question, how many rows in the evidence layer meet the grading bar. Then say in the Key Findings that the benchmark answer is zero and that this is a finding about disclosure practice in the field, not a gap in the survey (Major issue 1). This single addition converts the survey's biggest apparent weakness into its most publishable claim.</w:t>
      </w:r>
    </w:p>
    <w:p>
      <w:pPr>
        <w:pStyle w:val="ListNumber"/>
      </w:pPr>
      <w:r>
        <w:rPr>
          <w:b/>
        </w:rPr>
        <w:t>Re-audit every `Not publicly disclosed` cell and add a `Not extracted` value</w:t>
      </w:r>
      <w:r>
        <w:t xml:space="preserve"> to the vocabulary (Major issue 3). At least three cells per Anthropic pricing row are currently misclassified, and the same audit will likely find more elsewhere. The paper's whole authority rests on this distinction being reliable.</w:t>
      </w:r>
    </w:p>
    <w:p>
      <w:pPr>
        <w:pStyle w:val="ListNumber"/>
      </w:pPr>
      <w:r>
        <w:rPr>
          <w:b/>
        </w:rPr>
        <w:t>Fill the two holes that undercut stated scope:</w:t>
      </w:r>
      <w:r>
        <w:t xml:space="preserve"> populate or explicitly disclaim </w:t>
      </w:r>
      <w:r>
        <w:rPr>
          <w:rFonts w:ascii="Courier New" w:hAnsi="Courier New"/>
        </w:rPr>
        <w:t>energy-studies.csv</w:t>
      </w:r>
      <w:r>
        <w:t xml:space="preserve"> (Major issue 2), and add the missing low-cost Anthropic row (Major issue 5), then check the other provider blocks for the same frontier-only bias.</w:t>
      </w:r>
    </w:p>
    <w:p>
      <w:r>
        <w:t xml:space="preserve">Then: fix the build-status line, make the </w:t>
      </w:r>
      <w:r>
        <w:rPr>
          <w:rFonts w:ascii="Courier New" w:hAnsi="Courier New"/>
        </w:rPr>
        <w:t>model_id</w:t>
      </w:r>
      <w:r>
        <w:t xml:space="preserve"> caveat per-row, add </w:t>
      </w:r>
      <w:r>
        <w:rPr>
          <w:rFonts w:ascii="Courier New" w:hAnsi="Courier New"/>
        </w:rPr>
        <w:t>release_date</w:t>
      </w:r>
      <w:r>
        <w:t xml:space="preserve"> values, and add the worked selection example.</w:t>
      </w:r>
    </w:p>
    <w:p>
      <w:pPr>
        <w:pStyle w:val="Heading2"/>
      </w:pPr>
      <w:r>
        <w:t>What to take forward</w:t>
      </w:r>
    </w:p>
    <w:p>
      <w:pPr>
        <w:pStyle w:val="ListBullet"/>
      </w:pPr>
      <w:r>
        <w:rPr>
          <w:b/>
        </w:rPr>
        <w:t>A refusal is a result — publish it as one.</w:t>
      </w:r>
      <w:r>
        <w:t xml:space="preserve"> The most valuable thing this survey has produced is the discovery that essentially no public benchmark evidence for frontier commercial models survives a reproducibility bar. That is a finding with real implications for procurement and policy, and right now it is visible only to a reader who counts rows in a CSV. When your method eliminates most of your data, the elimination </w:t>
      </w:r>
      <w:r>
        <w:rPr>
          <w:i/>
        </w:rPr>
        <w:t>is</w:t>
      </w:r>
      <w:r>
        <w:t xml:space="preserve"> the paper.</w:t>
      </w:r>
    </w:p>
    <w:p>
      <w:pPr>
        <w:pStyle w:val="ListBullet"/>
      </w:pPr>
      <w:r>
        <w:rPr>
          <w:b/>
        </w:rPr>
        <w:t>A vocabulary for absence needs as much precision as a vocabulary for evidence.</w:t>
      </w:r>
      <w:r>
        <w:t xml:space="preserve"> The A/B/C grading is careful; the not-available side collapses several very different situations — the provider does not publish it, we did not look, we looked and could not find it, it is published but not in a comparable unit — into one string. Absence categories deserve the same taxonomy discipline as presence categories, because in this survey absence is most of the data.</w:t>
      </w:r>
    </w:p>
    <w:p>
      <w:pPr>
        <w:pStyle w:val="ListBullet"/>
      </w:pPr>
      <w:r>
        <w:rPr>
          <w:b/>
        </w:rPr>
        <w:t>A blanket caveat is a blunt instrument.</w:t>
      </w:r>
      <w:r>
        <w:t xml:space="preserve"> Applying the same disclaimer to every row, including the rows where it is false, costs you credit for the work you actually did. Caveat per cell, not per table.</w:t>
      </w:r>
    </w:p>
    <w:p>
      <w:pPr>
        <w:pStyle w:val="ListBullet"/>
      </w:pPr>
      <w:r>
        <w:rPr>
          <w:b/>
        </w:rPr>
        <w:t>Build the join before you need it.</w:t>
      </w:r>
      <w:r>
        <w:t xml:space="preserve"> The CoLab has a carbon-footprint report, a model-selection framework, and this survey's energy chapter all describing the same territory with different numbers. The habit worth keeping from this repository — stable IDs, a shared source file, per-row grades — is exactly what makes those three reconcilable. Extend it across projects, not just within this one.</w:t>
      </w:r>
    </w:p>
    <w:p>
      <w:pPr>
        <w:pStyle w:val="Heading2"/>
      </w:pPr>
      <w:r>
        <w:t>Verdict</w:t>
      </w:r>
    </w:p>
    <w:p>
      <w:r>
        <w:rPr>
          <w:b/>
        </w:rPr>
        <w:t>Minor revisions.</w:t>
      </w:r>
      <w:r>
        <w:t xml:space="preserve"> The methodology, the limitations document, and the evidence taxonomy are publishable as they stand and are a genuine model for the rest of the portfolio. Every issue above is a gap between that apparatus and the data currently sitting under it, and all of them are closeable in a focused pass. The one thing not to do is quietly grow the benchmark table with more Grade C rows to make it look fuller — the empty result is the honest one, and it is more interesting than the table would be.</w:t>
      </w:r>
    </w:p>
    <w:p>
      <w:pPr>
        <w:pStyle w:val="Heading2"/>
      </w:pPr>
      <w:r>
        <w:t>References</w:t>
      </w:r>
    </w:p>
    <w:p>
      <w:pPr>
        <w:pStyle w:val="ListNumber"/>
      </w:pPr>
      <w:r>
        <w:t xml:space="preserve">Anthropic. </w:t>
      </w:r>
      <w:r>
        <w:rPr>
          <w:i/>
        </w:rPr>
        <w:t>Models overview</w:t>
      </w:r>
      <w:r>
        <w:t xml:space="preserve"> and </w:t>
      </w:r>
      <w:r>
        <w:rPr>
          <w:i/>
        </w:rPr>
        <w:t>Pricing</w:t>
      </w:r>
      <w:r>
        <w:t xml:space="preserve">, Claude Developer Platform documentation, accessed 22 July 2026. Verified against the survey's Anthropic rows: Claude Fable 5 ($10/$50 per MTok, 1M context, 128K max output), Claude Opus 4.8 ($5/$25, 1M, 128K), Claude Sonnet 5 ($3/$15 with an introductory rate through 2026-08-31, 1M, 128K), and Claude Haiku 4.5 ($1/$5, 200K context) — the last of which is absent from </w:t>
      </w:r>
      <w:r>
        <w:rPr>
          <w:rFonts w:ascii="Courier New" w:hAnsi="Courier New"/>
        </w:rPr>
        <w:t>models.csv</w:t>
      </w:r>
      <w:r>
        <w:t>. https://platform.claude.com/docs/en/about-claude/models/overview</w:t>
      </w:r>
    </w:p>
    <w:p>
      <w:pPr>
        <w:pStyle w:val="ListNumber"/>
      </w:pPr>
      <w:r>
        <w:t xml:space="preserve">Anthropic. Claude Sonnet 5 tokenizer note — the provider states the model's tokenizer can produce approximately 30 percent more tokens for the same text than its predecessor, matching the survey's </w:t>
      </w:r>
      <w:r>
        <w:rPr>
          <w:rFonts w:ascii="Courier New" w:hAnsi="Courier New"/>
        </w:rPr>
        <w:t>models.csv</w:t>
      </w:r>
      <w:r>
        <w:t xml:space="preserve"> note. Model migration documentation, accessed 22 July 2026.</w:t>
      </w:r>
    </w:p>
    <w:p>
      <w:pPr>
        <w:pStyle w:val="ListNumber"/>
      </w:pPr>
      <w:r>
        <w:t xml:space="preserve">Anthropic. </w:t>
      </w:r>
      <w:r>
        <w:rPr>
          <w:i/>
        </w:rPr>
        <w:t>Prompt caching</w:t>
      </w:r>
      <w:r>
        <w:t xml:space="preserve"> and </w:t>
      </w:r>
      <w:r>
        <w:rPr>
          <w:i/>
        </w:rPr>
        <w:t>Batch processing</w:t>
      </w:r>
      <w:r>
        <w:t xml:space="preserve"> documentation — cache reads are priced at roughly 0.1× base input and cache writes at 1.25× (short TTL) or 2× (long TTL); the Batches API is documented at a 50 percent discount. Both are recorded as </w:t>
      </w:r>
      <w:r>
        <w:rPr>
          <w:rFonts w:ascii="Courier New" w:hAnsi="Courier New"/>
        </w:rPr>
        <w:t>Not publicly disclosed</w:t>
      </w:r>
      <w:r>
        <w:t xml:space="preserve"> in the survey's </w:t>
      </w:r>
      <w:r>
        <w:rPr>
          <w:rFonts w:ascii="Courier New" w:hAnsi="Courier New"/>
        </w:rPr>
        <w:t>pricing.csv</w:t>
      </w:r>
      <w:r>
        <w:t>. Accessed 22 July 2026.</w:t>
      </w:r>
    </w:p>
    <w:p>
      <w:pPr>
        <w:pStyle w:val="ListNumber"/>
      </w:pPr>
      <w:r>
        <w:t xml:space="preserve">OECD and JRC. </w:t>
      </w:r>
      <w:r>
        <w:rPr>
          <w:i/>
        </w:rPr>
        <w:t>Handbook on Constructing Composite Indicators: Methodology and User Guide</w:t>
      </w:r>
      <w:r>
        <w:t>, 2008 — relevant to chapter 20's selection framework if it moves toward any weighted aggregation across dimensions.</w:t>
      </w:r>
    </w:p>
    <w:p>
      <w:pPr>
        <w:pStyle w:val="ListNumber"/>
      </w:pPr>
      <w:r>
        <w:t xml:space="preserve">Ethical Tech CoLab. </w:t>
      </w:r>
      <w:r>
        <w:rPr>
          <w:i/>
        </w:rPr>
        <w:t>AI's Carbon Footprint: The Environmental Impact of Artificial Intelligence</w:t>
      </w:r>
      <w:r>
        <w:t>, 2026, and its peer review of 22 July 2026 — the internal source chapter 16 should cite and reconcile against.</w:t>
      </w:r>
    </w:p>
    <w:p>
      <w:r>
        <w:rPr>
          <w:b/>
        </w:rPr>
        <w:t>[Verification Required]</w:t>
      </w:r>
      <w:r>
        <w:t xml:space="preserve"> Two items to confirm rather than take from this review. (a) I verified the Anthropic rows in </w:t>
      </w:r>
      <w:r>
        <w:rPr>
          <w:rFonts w:ascii="Courier New" w:hAnsi="Courier New"/>
        </w:rPr>
        <w:t>models.csv</w:t>
      </w:r>
      <w:r>
        <w:t xml:space="preserve"> and </w:t>
      </w:r>
      <w:r>
        <w:rPr>
          <w:rFonts w:ascii="Courier New" w:hAnsi="Courier New"/>
        </w:rPr>
        <w:t>pricing.csv</w:t>
      </w:r>
      <w:r>
        <w:t xml:space="preserve"> against that provider's current documentation; I did </w:t>
      </w:r>
      <w:r>
        <w:rPr>
          <w:b/>
        </w:rPr>
        <w:t>not</w:t>
      </w:r>
      <w:r>
        <w:t xml:space="preserve"> verify the OpenAI, Google, xAI, Meta, DeepSeek, Mistral, or Alibaba rows, and the same class of error found in the Anthropic block (documented values recorded as </w:t>
      </w:r>
      <w:r>
        <w:rPr>
          <w:rFonts w:ascii="Courier New" w:hAnsi="Courier New"/>
        </w:rPr>
        <w:t>Not publicly disclosed</w:t>
      </w:r>
      <w:r>
        <w:t>) may be present elsewhere — a full per-provider audit is warranted before publication. (b) Whether any table in the repository contains a Grade A row: I found none in the six CSVs read, but I did not exhaustively grep the 21 chapters for in-prose Grade A claims that never reached the data 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