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The Civilian Evacuation Risk Anticipation Index (CERAI): A Research Report on a Decision-Support Tool for Protecting Civilians During Evacuations in Armed Conflict</w:t>
      </w:r>
    </w:p>
    <w:p>
      <w:r>
        <w:rPr>
          <w:b/>
        </w:rPr>
        <w:t>Reviewed as:</w:t>
      </w:r>
      <w:r>
        <w:t xml:space="preserve"> External peer reviewer for a policy/humanitarian/legal research venue (the report's stated audience: UN, ICRC, IHL practitioners). I assume the bar of a serious applied-IHL / humanitarian-technology outlet, not a purely technical ML venue.</w:t>
      </w:r>
    </w:p>
    <w:p>
      <w:r>
        <w:rPr>
          <w:b/>
        </w:rPr>
        <w:t>Recommendation:</w:t>
      </w:r>
      <w:r>
        <w:t xml:space="preserve"> Major revisions</w:t>
      </w:r>
    </w:p>
    <w:p>
      <w:r>
        <w:rPr>
          <w:b/>
        </w:rPr>
        <w:t>Date:</w:t>
      </w:r>
      <w:r>
        <w:t xml:space="preserve"> 22 July 2026</w:t>
      </w:r>
    </w:p>
    <w:p>
      <w:pPr>
        <w:pStyle w:val="Heading2"/>
      </w:pPr>
      <w:r>
        <w:t>Summary of the submission</w:t>
      </w:r>
    </w:p>
    <w:p>
      <w:r>
        <w:t xml:space="preserve">CERAI is a browser-based research prototype that structures the reasoning behind whether, when, and how to move civilians out of danger during armed conflict. The report (a deliberately non-technical summary) makes one genuinely valuable conceptual move: it insists on separating </w:t>
      </w:r>
      <w:r>
        <w:rPr>
          <w:b/>
        </w:rPr>
        <w:t>endangerment</w:t>
      </w:r>
      <w:r>
        <w:t xml:space="preserve"> ("how dangerous is it to remain?") from </w:t>
      </w:r>
      <w:r>
        <w:rPr>
          <w:b/>
        </w:rPr>
        <w:t>feasibility</w:t>
      </w:r>
      <w:r>
        <w:t xml:space="preserve"> ("is an organised evacuation possible right now?"), on the ground that the duty to protect civilians must not be silently extinguished by operational difficulty (§1.3, §8.3). It scores endangerment from weighted risk factors, decomposes feasibility into zone-exit / route / destination sub-scores combined by geometric mean (§4.2, §9.1), and applies a bounded vulnerability multiplier to both (§4.3, §9.2). It surfaces historical analogues (§5.5), quantifies confidence by tracking how much rests on entered data versus worst-case defaults (§5.3), and runs Monte Carlo sensitivity analysis (§6.1). The report is unusually candid about limitations (§10) and repeatedly disclaims operational authority (§1.5, §13.2).</w:t>
      </w:r>
    </w:p>
    <w:p>
      <w:r>
        <w:t xml:space="preserve">The steelman: this is not a prediction engine dressed up as one. It is an attempt to make expert evacuation reasoning </w:t>
      </w:r>
      <w:r>
        <w:rPr>
          <w:i/>
        </w:rPr>
        <w:t>auditable</w:t>
      </w:r>
      <w:r>
        <w:t xml:space="preserve"> — traceable, reproducible, and legally legible — and to hard-wire an ethical firewall (danger ≠ feasibility) into the tool's architecture. That ambition is worth taking seriously, and the endangerment/feasibility separation is a contribution that could genuinely improve how these decisions are documented and challenged.</w:t>
      </w:r>
    </w:p>
    <w:p>
      <w:pPr>
        <w:pStyle w:val="Heading2"/>
      </w:pPr>
      <w:r>
        <w:t>Major issues</w:t>
      </w:r>
    </w:p>
    <w:p>
      <w:r>
        <w:rPr>
          <w:b/>
        </w:rPr>
        <w:t>1. The legal keystone — Article 49 GCIV — is mischaracterised, and the mischaracterisation runs through the paper's central claim.</w:t>
      </w:r>
      <w:r>
        <w:t xml:space="preserve"> </w:t>
      </w:r>
      <w:r>
        <w:rPr>
          <w:i/>
        </w:rPr>
        <w:t>Location: §1.3, §5.2, §8.1.</w:t>
      </w:r>
      <w:r>
        <w:t xml:space="preserve"> The report states that the 75% marker "represents the point at which conditions are considered to demand evacuation under Article 49 of the Fourth Geneva Convention (which requires evacuation 'where the security of the population or imperative military reasons so demand')" (§5.2), and grounds its core endangerment/feasibility split in the premise that "the obligation to protect and consider moving civilians arises from the </w:t>
      </w:r>
      <w:r>
        <w:rPr>
          <w:i/>
        </w:rPr>
        <w:t>danger</w:t>
      </w:r>
      <w:r>
        <w:t xml:space="preserve"> they face" (§1.3). This inverts what Article 49 actually does. Article 49 GCIV sits in the law of </w:t>
      </w:r>
      <w:r>
        <w:rPr>
          <w:b/>
        </w:rPr>
        <w:t>occupation</w:t>
      </w:r>
      <w:r>
        <w:t xml:space="preserve"> and is primarily a </w:t>
      </w:r>
      <w:r>
        <w:rPr>
          <w:b/>
        </w:rPr>
        <w:t>prohibition</w:t>
      </w:r>
      <w:r>
        <w:t xml:space="preserve">: individual or mass forcible transfers and deportations of protected persons from occupied territory are forbidden regardless of motive. Its second paragraph </w:t>
      </w:r>
      <w:r>
        <w:rPr>
          <w:i/>
        </w:rPr>
        <w:t>permits</w:t>
      </w:r>
      <w:r>
        <w:t xml:space="preserve"> — it does not </w:t>
      </w:r>
      <w:r>
        <w:rPr>
          <w:i/>
        </w:rPr>
        <w:t>require</w:t>
      </w:r>
      <w:r>
        <w:t xml:space="preserve"> — the Occupying Power to evacuate a given area "if the security of the population or imperative military reasons so demand," and even then only temporarily, without displacement outside the occupied territory save where unavoidable, with an obligation to return people home once hostilities in the area cease. So Article 49 is (a) occupation-specific, not a general rule for all armed conflict; (b) permissive-exceptional, not a danger-triggered duty; and (c) paired with a duty of return that CERAI never models. More broadly, IHL's default is protection </w:t>
      </w:r>
      <w:r>
        <w:rPr>
          <w:i/>
        </w:rPr>
        <w:t>in place</w:t>
      </w:r>
      <w:r>
        <w:t xml:space="preserve">: forced displacement is restricted (customary IHL Rule 129; AP II Art. 17), and evacuation is the tightly-conditioned exception, not the obligation that "arises from danger." </w:t>
      </w:r>
      <w:r>
        <w:rPr>
          <w:b/>
        </w:rPr>
        <w:t>Why it matters:</w:t>
      </w:r>
      <w:r>
        <w:t xml:space="preserve"> the paper's headline contribution rests on a legal proposition ("danger creates a duty to move") that is closer to the inverse of the governing rule. </w:t>
      </w:r>
      <w:r>
        <w:rPr>
          <w:b/>
        </w:rPr>
        <w:t>Path forward:</w:t>
      </w:r>
      <w:r>
        <w:t xml:space="preserve"> re-anchor the endangerment rationale in the frameworks that actually support it — the precautions obligations (AP I Arts. 57–58; customary Rules 15–24) and the protection-from-attack rules (AP I Art. 51) — which </w:t>
      </w:r>
      <w:r>
        <w:rPr>
          <w:i/>
        </w:rPr>
        <w:t>do</w:t>
      </w:r>
      <w:r>
        <w:t xml:space="preserve"> attach to the danger civilians face, and treat Article 49 as a </w:t>
      </w:r>
      <w:r>
        <w:rPr>
          <w:i/>
        </w:rPr>
        <w:t>constraint</w:t>
      </w:r>
      <w:r>
        <w:t xml:space="preserve"> on evacuation (temporary, occupation-bound, return-obligating) rather than its trigger. Correct the "requires evacuation" gloss to "permits evacuation" and state the occupation limitation explicitly.</w:t>
      </w:r>
    </w:p>
    <w:p>
      <w:r>
        <w:rPr>
          <w:b/>
        </w:rPr>
        <w:t>2. The report describes the tool but never evaluates it — there is no evidence.</w:t>
      </w:r>
      <w:r>
        <w:t xml:space="preserve"> </w:t>
      </w:r>
      <w:r>
        <w:rPr>
          <w:i/>
        </w:rPr>
        <w:t>Location: §5.5, §9.3, §9.4, §10.4.</w:t>
      </w:r>
      <w:r>
        <w:t xml:space="preserve"> Every empirical claim is asserted, not shown. The weights are said to carry, e.g., "the largest single weight" for intensity of hostilities (§4.1), but no weight vector appears anywhere in the report. The historical database is invoked repeatedly (§1.4, §5.5, §9.3, §9.4) as the instrument of "face validity," yet it is never presented — no list of the "few dozen documented cases" (§10.4), no table of how CERAI scored them versus the retrospective consensus, no worked example running a single scenario end-to-end. </w:t>
      </w:r>
      <w:r>
        <w:rPr>
          <w:b/>
        </w:rPr>
        <w:t>Why it matters:</w:t>
      </w:r>
      <w:r>
        <w:t xml:space="preserve"> the report's own value proposition is transparency and reproducibility (§2.3) — "every number can be traced back to the inputs" — but a reader cannot reproduce or check a single number from what is provided. "Checked for face validity against documented historical cases" (§9.3) is precisely the claim a referee will want to see demonstrated, and it is absent. </w:t>
      </w:r>
      <w:r>
        <w:rPr>
          <w:b/>
        </w:rPr>
        <w:t>Path forward:</w:t>
      </w:r>
      <w:r>
        <w:t xml:space="preserve"> publish (as an appendix or companion) the full weight vector, the aggregation formulas, and a validation table showing CERAI's endangerment/feasibility scores for the named cases (Aleppo, Mariupol, Mosul, Kabul) against an independent characterisation of those situations, plus at least one fully worked scenario. Even a small face-validity table would move this from description to evidence.</w:t>
      </w:r>
    </w:p>
    <w:p>
      <w:r>
        <w:rPr>
          <w:b/>
        </w:rPr>
        <w:t>3. The 75% threshold imposes false precision on a qualitative legal standard, with no derivation.</w:t>
      </w:r>
      <w:r>
        <w:t xml:space="preserve"> </w:t>
      </w:r>
      <w:r>
        <w:rPr>
          <w:i/>
        </w:rPr>
        <w:t>Location: §5.2, §5.4.</w:t>
      </w:r>
      <w:r>
        <w:t xml:space="preserve"> A single numeric cutpoint (75%) is mapped onto an inherently qualitative treaty phrase ("security of the population... so demand"), and the tool then computes a "time-to-threshold" projection in days toward it (§5.4). No derivation is given for why 75% (rather than 60% or 85%) corresponds to the legal condition; it appears to be a chosen constant. The hedge that it is "indicative only" (§5.2) is welcome but structurally weak: the interface still draws a bright line, and §5.3's worst-case defaults systematically </w:t>
      </w:r>
      <w:r>
        <w:rPr>
          <w:i/>
        </w:rPr>
        <w:t>push scores upward</w:t>
      </w:r>
      <w:r>
        <w:t xml:space="preserve"> toward that line when data is missing — so the least-informed assessments drift toward the "evacuate" marker. </w:t>
      </w:r>
      <w:r>
        <w:rPr>
          <w:b/>
        </w:rPr>
        <w:t>Why it matters:</w:t>
      </w:r>
      <w:r>
        <w:t xml:space="preserve"> a quantified legal red line is exactly the artefact most likely to be over-read or cited out of context by a non-lawyer decision-maker under time pressure — the audience this tool targets. </w:t>
      </w:r>
      <w:r>
        <w:rPr>
          <w:b/>
        </w:rPr>
        <w:t>Path forward:</w:t>
      </w:r>
      <w:r>
        <w:t xml:space="preserve"> either derive the threshold empirically (e.g., calibrate against the historical cases so 75% is the observed score band of situations experts agree crossed the line) and report that derivation, or replace the single line with a clearly-banded "consult legal review" zone. State plainly how worst-case defaults interact with the threshold, and suppress the time-to-threshold projection when confidence is low.</w:t>
      </w:r>
    </w:p>
    <w:p>
      <w:r>
        <w:rPr>
          <w:b/>
        </w:rPr>
        <w:t>4. Dual-use / misuse risk is real and central, but treated as a one-line caveat.</w:t>
      </w:r>
      <w:r>
        <w:t xml:space="preserve"> </w:t>
      </w:r>
      <w:r>
        <w:rPr>
          <w:i/>
        </w:rPr>
        <w:t>Location: §10.6, §12.1.</w:t>
      </w:r>
      <w:r>
        <w:t xml:space="preserve"> The report notes almost in passing that the tool "cannot always distinguish voluntary from coerced evacuation" (§10.6). This is not a marginal limitation — it is the ethical fault line of the entire project. A high endangerment score, tied to a treaty article and a numeric threshold, is precisely the instrument a party to a conflict could invoke to </w:t>
      </w:r>
      <w:r>
        <w:rPr>
          <w:i/>
        </w:rPr>
        <w:t>legitimise</w:t>
      </w:r>
      <w:r>
        <w:t xml:space="preserve"> a displacement that is actually unlawful ("the index said the area was over threshold, so we evacuated them"). The audience explicitly includes "political decision-makers" (§12.1), which widens rather than narrows this exposure. </w:t>
      </w:r>
      <w:r>
        <w:rPr>
          <w:b/>
        </w:rPr>
        <w:t>Why it matters:</w:t>
      </w:r>
      <w:r>
        <w:t xml:space="preserve"> a protection tool that can be repurposed as a displacement justification undermines the very obligation it means to defend, and the endangerment/feasibility firewall (its best idea) does not by itself prevent this. </w:t>
      </w:r>
      <w:r>
        <w:rPr>
          <w:b/>
        </w:rPr>
        <w:t>Path forward:</w:t>
      </w:r>
      <w:r>
        <w:t xml:space="preserve"> add a dedicated misuse/threat section that (a) states CERAI outputs cannot supply legal justification for evacuation or transfer, (b) foregrounds the coercion/consent problem, tying it to the Article 49 constraints and non-refoulement, and (c) specifies any design guardrails (e.g., output language that names the return obligation and the prohibition on forcible transfer whenever an "evacuate" band is reached).</w:t>
      </w:r>
    </w:p>
    <w:p>
      <w:pPr>
        <w:pStyle w:val="Heading2"/>
      </w:pPr>
      <w:r>
        <w:t>Minor issues</w:t>
      </w:r>
    </w:p>
    <w:p>
      <w:pPr>
        <w:pStyle w:val="ListBullet"/>
      </w:pPr>
      <w:r>
        <w:rPr>
          <w:b/>
        </w:rPr>
        <w:t>m1 — No citations or references.</w:t>
      </w:r>
      <w:r>
        <w:t xml:space="preserve"> For a report making specific treaty claims (Arts. 49, 51, 57, 58, 54, 70; GCIV 16/24; AP I 77–78) and invoking INFORM, ACLED, AHP, etc., there is not a single source reference. Add a references section so each legal and methodological claim is verifiable. </w:t>
      </w:r>
      <w:r>
        <w:rPr>
          <w:i/>
        </w:rPr>
        <w:t>(§8, §9, throughout.)</w:t>
      </w:r>
    </w:p>
    <w:p>
      <w:pPr>
        <w:pStyle w:val="ListBullet"/>
      </w:pPr>
      <w:r>
        <w:rPr>
          <w:b/>
        </w:rPr>
        <w:t>m2 — Literature positioning is limited to INFORM Severity.</w:t>
      </w:r>
      <w:r>
        <w:t xml:space="preserve"> The gap ("no purpose-built evacuation tool") is asserted, not established. Engage the closest neighbours — IASC/OCHA protection analysis, ICRC's protection framework, MCDA in humanitarian decision-making — to show the gap survives a scan. </w:t>
      </w:r>
      <w:r>
        <w:rPr>
          <w:i/>
        </w:rPr>
        <w:t>(§2.2.)</w:t>
      </w:r>
    </w:p>
    <w:p>
      <w:pPr>
        <w:pStyle w:val="ListBullet"/>
      </w:pPr>
      <w:r>
        <w:rPr>
          <w:b/>
        </w:rPr>
        <w:t>m3 — Aggregation math is prose-only, and the "no double-counting" claim is unproven.</w:t>
      </w:r>
      <w:r>
        <w:t xml:space="preserve"> Endangerment (weighted sum), feasibility (geometric mean), and a vulnerability multiplier applied to </w:t>
      </w:r>
      <w:r>
        <w:rPr>
          <w:i/>
        </w:rPr>
        <w:t>both</w:t>
      </w:r>
      <w:r>
        <w:t xml:space="preserve"> (§4.3) are combined without a stated formula; the assurance that vulnerability's two effects "are not double-counting the same factor" (§4.3) is asserted. Show the equations and demonstrate separability. </w:t>
      </w:r>
      <w:r>
        <w:rPr>
          <w:i/>
        </w:rPr>
        <w:t>(§4.2–4.3, §9.1–9.2.)</w:t>
      </w:r>
    </w:p>
    <w:p>
      <w:pPr>
        <w:pStyle w:val="ListBullet"/>
      </w:pPr>
      <w:r>
        <w:rPr>
          <w:b/>
        </w:rPr>
        <w:t>m4 — Monte Carlo varies inputs, not weights.</w:t>
      </w:r>
      <w:r>
        <w:t xml:space="preserve"> §6.1 tests robustness to uncertain </w:t>
      </w:r>
      <w:r>
        <w:rPr>
          <w:i/>
        </w:rPr>
        <w:t>inputs</w:t>
      </w:r>
      <w:r>
        <w:t>, but the weights are the least-evidenced part of the model (§9.3). Report sensitivity of conclusions to the weight vector, not only to inputs.</w:t>
      </w:r>
    </w:p>
    <w:p>
      <w:pPr>
        <w:pStyle w:val="ListBullet"/>
      </w:pPr>
      <w:r>
        <w:rPr>
          <w:b/>
        </w:rPr>
        <w:t>m5 — Authorship is unclear.</w:t>
      </w:r>
      <w:r>
        <w:t xml:space="preserve"> The Executive Summary attributes the work to "masters research at NYU" (§1.6) while the Attribution names Teresa Cantero as </w:t>
      </w:r>
      <w:r>
        <w:rPr>
          <w:i/>
        </w:rPr>
        <w:t>advisor</w:t>
      </w:r>
      <w:r>
        <w:t xml:space="preserve"> and an NYU alum; the actual author/researcher is never named. Clarify who built and is accountable for the tool. </w:t>
      </w:r>
      <w:r>
        <w:rPr>
          <w:i/>
        </w:rPr>
        <w:t>(§1.6, Attribution.)</w:t>
      </w:r>
    </w:p>
    <w:p>
      <w:pPr>
        <w:pStyle w:val="ListBullet"/>
      </w:pPr>
      <w:r>
        <w:rPr>
          <w:b/>
        </w:rPr>
        <w:t>m6 — External data terms not addressed.</w:t>
      </w:r>
      <w:r>
        <w:t xml:space="preserve"> ACLED, GDELT, Nominatim/OSM and Open-Meteo each carry usage/licensing and attribution terms and rate limits (§7). A tool proposing operational-adjacent use should note compliance and the reliability implications of these feeds.</w:t>
      </w:r>
    </w:p>
    <w:p>
      <w:pPr>
        <w:pStyle w:val="ListBullet"/>
      </w:pPr>
      <w:r>
        <w:rPr>
          <w:b/>
        </w:rPr>
        <w:t>m7 — Non-refoulement is listed flat among IHL provisions.</w:t>
      </w:r>
      <w:r>
        <w:t xml:space="preserve"> §8.1 folds non-refoulement (a refugee- and human-rights-law principle) into an IHL list without noting the different legal regime; a legal audience will notice. Flag the framework distinction.</w:t>
      </w:r>
    </w:p>
    <w:p>
      <w:pPr>
        <w:pStyle w:val="ListBullet"/>
      </w:pPr>
      <w:r>
        <w:rPr>
          <w:b/>
        </w:rPr>
        <w:t>m8 — Case-count is vague and slightly inconsistent.</w:t>
      </w:r>
      <w:r>
        <w:t xml:space="preserve"> "Documented real-world evacuation operations since the year 2000" (§1.4) versus "a few dozen documented cases" (§10.4) — give the actual N and its inclusion criteria.</w:t>
      </w:r>
    </w:p>
    <w:p>
      <w:pPr>
        <w:pStyle w:val="Heading2"/>
      </w:pPr>
      <w:r>
        <w:t>Things the report gets right</w:t>
      </w:r>
    </w:p>
    <w:p>
      <w:pPr>
        <w:pStyle w:val="ListBullet"/>
      </w:pPr>
      <w:r>
        <w:rPr>
          <w:b/>
        </w:rPr>
        <w:t>The endangerment/feasibility separation (§1.3, §3.2, §8.3) is a genuinely good idea, honestly motivated.</w:t>
      </w:r>
      <w:r>
        <w:t xml:space="preserve"> Refusing to let low feasibility appear to cancel the duty to protect is the correct ethical instinct and the report's real contribution; it is worth protecting even as the legal citation underpinning it is corrected.</w:t>
      </w:r>
    </w:p>
    <w:p>
      <w:pPr>
        <w:pStyle w:val="ListBullet"/>
      </w:pPr>
      <w:r>
        <w:rPr>
          <w:b/>
        </w:rPr>
        <w:t>The precautionary confidence design (§5.3) is thoughtful.</w:t>
      </w:r>
      <w:r>
        <w:t xml:space="preserve"> Assuming worst-case when data is missing </w:t>
      </w:r>
      <w:r>
        <w:rPr>
          <w:i/>
        </w:rPr>
        <w:t>and</w:t>
      </w:r>
      <w:r>
        <w:t xml:space="preserve"> lowering displayed confidence accordingly is the right default direction for a protection tool, and making the data-vs-assumption split visible is exactly the kind of auditability the report champions.</w:t>
      </w:r>
    </w:p>
    <w:p>
      <w:pPr>
        <w:pStyle w:val="ListBullet"/>
      </w:pPr>
      <w:r>
        <w:rPr>
          <w:b/>
        </w:rPr>
        <w:t>The candour about limitations (§10) is unusual and credible.</w:t>
      </w:r>
      <w:r>
        <w:t xml:space="preserve"> Explicitly disclaiming statistical prediction, naming the small dataset, the correlation-causation trap, the inability to read political intent, and refusing "ground truth" (§9.4, §10.4–10.5) is more honest than most tools of this kind.</w:t>
      </w:r>
    </w:p>
    <w:p>
      <w:pPr>
        <w:pStyle w:val="ListBullet"/>
      </w:pPr>
      <w:r>
        <w:rPr>
          <w:b/>
        </w:rPr>
        <w:t>The geometric-mean rationale (§9.1) is sound and well-explained</w:t>
      </w:r>
      <w:r>
        <w:t xml:space="preserve"> — a closed corridor </w:t>
      </w:r>
      <w:r>
        <w:rPr>
          <w:i/>
        </w:rPr>
        <w:t>should</w:t>
      </w:r>
      <w:r>
        <w:t xml:space="preserve"> dominate feasibility regardless of good weather, and the plain-language justification lands.</w:t>
      </w:r>
    </w:p>
    <w:p>
      <w:pPr>
        <w:pStyle w:val="ListBullet"/>
      </w:pPr>
      <w:r>
        <w:rPr>
          <w:i/>
        </w:rPr>
      </w:r>
      <w:r>
        <w:rPr>
          <w:i/>
        </w:rPr>
        <w:t xml:space="preserve">The framing as decision </w:t>
      </w:r>
      <w:r>
        <w:t>support</w:t>
      </w:r>
      <w:r>
        <w:rPr>
          <w:i/>
        </w:rPr>
        <w:t>, not decision-making (§12.2, §13.2)</w:t>
      </w:r>
      <w:r>
        <w:t>*, with the human kept "firmly in control," is the correct posture for automated tools in this domain and is maintained consistently.</w:t>
      </w:r>
    </w:p>
    <w:p>
      <w:pPr>
        <w:pStyle w:val="Heading2"/>
      </w:pPr>
      <w:r>
        <w:t>Verdict</w:t>
      </w:r>
    </w:p>
    <w:p>
      <w:r>
        <w:rPr>
          <w:b/>
        </w:rPr>
        <w:t>Major revisions.</w:t>
      </w:r>
      <w:r>
        <w:t xml:space="preserve"> The conceptual contribution is real and the ethical posture is largely right, but the report currently (a) rests its central claim on a mischaracterised Article 49, (b) presents no evidence that the tool works, and (c) attaches a quantified legal threshold to a qualitative standard without derivation or misuse guardrails. None of these is fatal; each is fixable.</w:t>
      </w:r>
    </w:p>
    <w:p>
      <w:r>
        <w:rPr>
          <w:b/>
        </w:rPr>
        <w:t>Single highest-value revision:</w:t>
      </w:r>
      <w:r>
        <w:t xml:space="preserve"> Correct the IHL foundation (Major 1) — re-anchor the endangerment rationale in the precautions and protection-from-attack rules, recast Article 49 as a </w:t>
      </w:r>
      <w:r>
        <w:rPr>
          <w:i/>
        </w:rPr>
        <w:t>constraint</w:t>
      </w:r>
      <w:r>
        <w:t xml:space="preserve"> on evacuation (permissive, occupation-bound, temporary, return-obligating) rather than its trigger, and carry that correction through §1.3, §5.2, and §8. This single fix restores the legal integrity on which the paper's best idea, and its claim to be usable by an IHL audience, depends.</w:t>
      </w:r>
    </w:p>
    <w:p>
      <w:pPr>
        <w:pStyle w:val="Heading2"/>
      </w:pPr>
      <w:r>
        <w:t>References</w:t>
      </w:r>
    </w:p>
    <w:p>
      <w:pPr>
        <w:pStyle w:val="ListNumber"/>
      </w:pPr>
      <w:r>
        <w:t>Geneva Convention (IV) relative to the Protection of Civilian Persons in Time of War, 12 August 1949, Art. 49.</w:t>
      </w:r>
    </w:p>
    <w:p>
      <w:pPr>
        <w:pStyle w:val="ListNumber"/>
      </w:pPr>
      <w:r>
        <w:t>Protocol Additional to the Geneva Conventions (Protocol I), 8 June 1977, Arts. 51, 57, 58.</w:t>
      </w:r>
    </w:p>
    <w:p>
      <w:pPr>
        <w:pStyle w:val="ListNumber"/>
      </w:pPr>
      <w:r>
        <w:t xml:space="preserve">International Committee of the Red Cross. </w:t>
      </w:r>
      <w:r>
        <w:rPr>
          <w:i/>
        </w:rPr>
        <w:t>Customary International Humanitarian Law</w:t>
      </w:r>
      <w:r>
        <w:t>, Rules 129 (Displacement), 15–24 (Precautions). ICRC/Cambridge University Press, 2005.</w:t>
      </w:r>
    </w:p>
    <w:p>
      <w:pPr>
        <w:pStyle w:val="ListNumber"/>
      </w:pPr>
      <w:r>
        <w:t>Protocol Additional to the Geneva Conventions (Protocol II), 8 June 1977, Art. 17.</w:t>
      </w:r>
    </w:p>
    <w:p>
      <w:r>
        <w:rPr>
          <w:i/>
        </w:rPr>
        <w:t>Note on format: per the rendering pipeline, references appear here as a numbered list rather than as Word footnotes, and inline citations are given as section markers (§) into the source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