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Peer Review — The Evacuation Simulator (EvacSim): A Research Report on an Agent-Based Model of How Civilians Decide to Leave During Armed Conflict</w:t>
      </w:r>
    </w:p>
    <w:p>
      <w:r>
        <w:rPr>
          <w:b/>
        </w:rPr>
        <w:t>Reviewer role:</w:t>
      </w:r>
      <w:r>
        <w:t xml:space="preserve"> External referee, reviewing as for an interdisciplinary humanitarian-technology / computational social science venue (journal or serious workshop bar).</w:t>
      </w:r>
    </w:p>
    <w:p>
      <w:r>
        <w:rPr>
          <w:b/>
        </w:rPr>
        <w:t>Recommendation:</w:t>
      </w:r>
      <w:r>
        <w:t xml:space="preserve"> Major revisions</w:t>
      </w:r>
    </w:p>
    <w:p>
      <w:r>
        <w:rPr>
          <w:b/>
        </w:rPr>
        <w:t>Date:</w:t>
      </w:r>
      <w:r>
        <w:t xml:space="preserve"> 22 July 2026</w:t>
      </w:r>
    </w:p>
    <w:p>
      <w:pPr>
        <w:pStyle w:val="Heading2"/>
      </w:pPr>
      <w:r>
        <w:t>Summary of the submission</w:t>
      </w:r>
    </w:p>
    <w:p>
      <w:r>
        <w:t>The submission is a plain-language research report documenting EvacSim, an agent-based model of how civilians decide to leave during armed conflict. Six households (§4.1) move through five behavioural stages — Unaware, Seeking, Milling, Evacuating, Evacuated (§4.2) — with transitions driven by a confirmation-counting mechanism: each agent must accumulate a threshold number of independent confirmations, arriving through four channels (official broadcast, humanitarian actor, neighbours, and hostile misinformation, §4.4), before it will begin preparing to move. The model layers a conflict environment on top of the classic disaster-sociology warning-response model: closing corridors with timed windows (§6), checkpoint delay, infrastructure damage, coercion, and perfidious misinformation (§5.2), each tied to a provision of International Humanitarian Law (§9).</w:t>
      </w:r>
    </w:p>
    <w:p>
      <w:r>
        <w:t xml:space="preserve">The report's single best idea is conceptual, not computational: it represents vulnerability as </w:t>
      </w:r>
      <w:r>
        <w:rPr>
          <w:i/>
        </w:rPr>
        <w:t>time</w:t>
      </w:r>
      <w:r>
        <w:t xml:space="preserve"> rather than as a risk score (§8.2, §12.2). Elders, young children, pregnant women, and unaccompanied minors receive extra confirmation requirements, longer preparation, and slower movement (§5.3), so their disadvantage is inert until it collides with a constraint — a closing gate, a degrading information environment. That framing is genuinely illuminating and is defended well. The report is also unusually candid about its own limits: it refuses to label ticks as minutes (§4.3, §8.1), insists no conclusion be drawn from a single run (§8.4–8.5), and devotes an entire section (§9.2–9.7) to correcting inaccurate IHL citations in the underlying repository. Taken together, the work is a thoughtful, honest teaching artefact with a strong central intuition. The issues below concern whether, in its current form, it is a </w:t>
      </w:r>
      <w:r>
        <w:rPr>
          <w:i/>
        </w:rPr>
        <w:t>research paper</w:t>
      </w:r>
      <w:r>
        <w:t xml:space="preserve"> about that artefact or the artefact's documentation wearing a paper's clothes.</w:t>
      </w:r>
    </w:p>
    <w:p>
      <w:pPr>
        <w:pStyle w:val="Heading2"/>
      </w:pPr>
      <w:r>
        <w:t>Major issues</w:t>
      </w:r>
    </w:p>
    <w:p>
      <w:r>
        <w:rPr>
          <w:b/>
        </w:rPr>
        <w:t>1. Genre ambiguity: is this a research paper, or the tool's own documentation? — subtitle, Foreword, §12.1, Attribution.</w:t>
      </w:r>
    </w:p>
    <w:p>
      <w:r>
        <w:t xml:space="preserve">The document calls itself "a plain-language review of the EvacSim research prototype" (subtitle) and adopts an evaluative third-person voice throughout ("This report endorses that caution," §1.7; "the tool is right to insist," §5.2). Yet the Attribution reveals EvacSim was "Developed by Melanie MacKew as part of masters research," and the report is part of the same masters research. A reader cannot tell whether this is an independent review or the developer's own reflective documentation written in review voice. This matters because the document's critical passages (the IHL corrections, the infrastructure-damage bug) derive their weight from apparent independence, but if author and reviewer are the same person, they are self-disclosures, not external findings — which is fine, but must be </w:t>
      </w:r>
      <w:r>
        <w:rPr>
          <w:i/>
        </w:rPr>
        <w:t>labelled</w:t>
      </w:r>
      <w:r>
        <w:t xml:space="preserve"> as such. </w:t>
      </w:r>
      <w:r>
        <w:rPr>
          <w:b/>
        </w:rPr>
        <w:t>Path forward:</w:t>
      </w:r>
      <w:r>
        <w:t xml:space="preserve"> decide what the document is and commit to it. If it is a system/tool paper, restructure to the standard form (problem → design → implementation → evaluation → discussion) and drop the review framing. If it is reflective documentation, say so plainly in the Foreword and abandon the third-person evaluative distance. Either way, add a short "About this document" note stating who wrote it, in what relationship to the tool, and for what purpose.</w:t>
      </w:r>
    </w:p>
    <w:p>
      <w:r>
        <w:rPr>
          <w:b/>
        </w:rPr>
        <w:t>2. No empirical output whatsoever — absent throughout; see especially §7, §8.4–8.5, §11.3.</w:t>
      </w:r>
    </w:p>
    <w:p>
      <w:r>
        <w:t xml:space="preserve">For a "research report" on a simulation, the report contains not one reported run: no figures, no output tables, no distributions, no numbers from actual execution. This is the paper's central gap, and it is made sharper by the paper's own methodology. §7.6 states "A single run tells the user very little… The signal appears in the difference between two runs," and §8.4–8.5 insist the population is too small and noisy for any single number to mean anything. The report therefore prescribes exactly the analysis — repeated runs, aggregated, compared pairwise — that it never performs. §11.3 names the flagship comparison ("Run the same community on foot and by car… the difference in who gets out is entirely attributable to access to transport") but reports no data for it. </w:t>
      </w:r>
      <w:r>
        <w:rPr>
          <w:b/>
        </w:rPr>
        <w:t>Why it matters:</w:t>
      </w:r>
      <w:r>
        <w:t xml:space="preserve"> every substantive claim about the model's behaviour ("this is the model's clearest single finding," §5.5) is currently an assertion about code the reader cannot see, not a demonstrated result. </w:t>
      </w:r>
      <w:r>
        <w:rPr>
          <w:b/>
        </w:rPr>
        <w:t>Path forward:</w:t>
      </w:r>
      <w:r>
        <w:t xml:space="preserve"> run Monte Carlo batches (e.g., 200–500 runs per condition) for two or three headline comparisons — foot vs. car under a fixed corridor window; high-threat/low-clarity vs. high-clarity; misinformation on vs. off — and report the distribution of who evacuates, who is trapped, and the channel split, with uncertainty. This single addition converts the paper from description to evidence.</w:t>
      </w:r>
    </w:p>
    <w:p>
      <w:r>
        <w:rPr>
          <w:b/>
        </w:rPr>
        <w:t>3. Designed-in assumptions are presented as empirical findings — §5.5, §12.1 (car equalization); recurring.</w:t>
      </w:r>
    </w:p>
    <w:p>
      <w:r>
        <w:t xml:space="preserve">The report repeatedly calls model behaviours "findings." The clearest case: "A vehicle equalises mobility almost completely… This is the model's clearest single finding, and it is a finding about equity rather than about speed" (§5.5, echoed at §12.2). But this is not a finding; it is a direct arithmetic consequence of a coded assumption — the author </w:t>
      </w:r>
      <w:r>
        <w:rPr>
          <w:i/>
        </w:rPr>
        <w:t>set</w:t>
      </w:r>
      <w:r>
        <w:t xml:space="preserve"> every category's car speed to an identical 5.5 while foot speeds vary from 1.5 to 2.6 (§5.5, §5.4). The model can only output the equalization that was typed into it. Presenting a hard-coded parameter choice as a discovered result is circular, and the habit recurs wherever the report narrates "what the tool shows." </w:t>
      </w:r>
      <w:r>
        <w:rPr>
          <w:b/>
        </w:rPr>
        <w:t>Why it matters:</w:t>
      </w:r>
      <w:r>
        <w:t xml:space="preserve"> it inflates the epistemic status of the work and obscures the genuinely interesting results, which are the </w:t>
      </w:r>
      <w:r>
        <w:rPr>
          <w:i/>
        </w:rPr>
        <w:t>emergent</w:t>
      </w:r>
      <w:r>
        <w:t xml:space="preserve"> ones the author did not directly set — the neighbour-influence cascade (§5.3), the interaction between a fixed preparation delay and a corridor window (§6.2), the channel-split composition under degraded information. </w:t>
      </w:r>
      <w:r>
        <w:rPr>
          <w:b/>
        </w:rPr>
        <w:t>Path forward:</w:t>
      </w:r>
      <w:r>
        <w:t xml:space="preserve"> explicitly separate "designed-in" relationships (car equality, the coercion coefficient) from "emergent" outcomes that arise from interaction and stochasticity, and reserve "finding" for the latter — then demonstrate those with the runs from Issue 2.</w:t>
      </w:r>
    </w:p>
    <w:p>
      <w:r>
        <w:rPr>
          <w:b/>
        </w:rPr>
        <w:t>4. The IHL grounding is simultaneously a core selling point and substantially broken — §3.4, §9.1 vs. §9.2–9.7.</w:t>
      </w:r>
    </w:p>
    <w:p>
      <w:r>
        <w:t xml:space="preserve">The report positions legal grounding as a primary value of the tool: it makes "legal rules… be seen as behavioural consequences" (§3.4) and "turns legal rules into observable behaviour" (§9.1). Yet §9.2–9.7 then documents that four load-bearing citations in the tool are wrong: Customary Rule 99 (cited for a right to leave; it actually concerns arbitrary deprivation of liberty, §9.3), AP I Article 16 (cited for pregnant women; it concerns medical duties, §9.4), AP I Article 78 (over-read for internal child evacuation, §9.5), and Rule 9 (a definition, not the protective rule, §9.6), plus a mis-framing of perfidy (§9.7). I checked these corrections against primary sources and they are substantively </w:t>
      </w:r>
      <w:r>
        <w:rPr>
          <w:b/>
        </w:rPr>
        <w:t>correct</w:t>
      </w:r>
      <w:r>
        <w:t xml:space="preserve"> — this is excellent legal work. But that is precisely the problem: a teaching tool whose entire pedagogy is "law as behaviour" is currently teaching law that its own report shows to be mis-cited in the software the students would actually use. </w:t>
      </w:r>
      <w:r>
        <w:rPr>
          <w:b/>
        </w:rPr>
        <w:t>Why it matters:</w:t>
      </w:r>
      <w:r>
        <w:t xml:space="preserve"> the report cannot both claim the legal grounding as the tool's distinctive contribution and leave that grounding uncorrected in the artefact. </w:t>
      </w:r>
      <w:r>
        <w:rPr>
          <w:b/>
        </w:rPr>
        <w:t>Path forward:</w:t>
      </w:r>
      <w:r>
        <w:t xml:space="preserve"> fix the citations </w:t>
      </w:r>
      <w:r>
        <w:rPr>
          <w:i/>
        </w:rPr>
        <w:t>in the tool</w:t>
      </w:r>
      <w:r>
        <w:t>, then present a report describing a corrected tool. Move §9.3–9.7 from "errors the reader should be aware of" to "corrections applied in this version," and keep a short changelog. Recommend the author also confirm each provision against the ICRC IHL Database and the primary treaty text before final submission, since the paper carries no References section to let a reader trace them (see m5).</w:t>
      </w:r>
    </w:p>
    <w:p>
      <w:r>
        <w:rPr>
          <w:b/>
        </w:rPr>
        <w:t>5. Thin literature positioning and undefended novelty — §2.2–2.4; no comparison to prior models anywhere.</w:t>
      </w:r>
    </w:p>
    <w:p>
      <w:r>
        <w:t xml:space="preserve">The behavioural foundation rests on exactly two scholars, Quarantelli and Drabek (§2.4), both correctly attributed but standing in for an entire field. The confirmation-seeking warning-response process the model implements is the core of the Protective Action Decision Model (Lindell &amp; Perry) and the warning-response literature (Mileti &amp; Sorensen), none of which is cited. The "milling" concept invoked in the Foreword traces to Turner &amp; Killian and is unattributed. More consequentially, the paper claims a gap — disaster sociology "grew out of hurricanes, floods, and industrial accidents… Armed conflict inverts all three assumptions" (§2.2) — but engages no conflict-displacement or forced-migration behavioural literature to justify how it adapts the model to conflict; the adaptation is asserted. And the report never positions EvacSim against the substantial existing body of agent-based evacuation models (building egress, wildfire, hurricane ABMs), so its novelty relative to prior simulation work is claimed only by omission. </w:t>
      </w:r>
      <w:r>
        <w:rPr>
          <w:b/>
        </w:rPr>
        <w:t>Why it matters:</w:t>
      </w:r>
      <w:r>
        <w:t xml:space="preserve"> a referee cannot assess whether the contribution is new without seeing what it stands on and against. </w:t>
      </w:r>
      <w:r>
        <w:rPr>
          <w:b/>
        </w:rPr>
        <w:t>Path forward:</w:t>
      </w:r>
      <w:r>
        <w:t xml:space="preserve"> add a positioning subsection that (a) cites the warning-response lineage properly, (b) names at least a few conflict-displacement behavioural sources supporting the conflict adaptations, and (c) contrasts EvacSim with one or two existing evacuation ABMs to locate its novelty (the IHL-behaviour mapping and vulnerability-as-time framing are plausibly the genuine novel contributions — say so explicitly).</w:t>
      </w:r>
    </w:p>
    <w:p>
      <w:pPr>
        <w:pStyle w:val="Heading2"/>
      </w:pPr>
      <w:r>
        <w:t>Minor issues</w:t>
      </w:r>
    </w:p>
    <w:p>
      <w:pPr>
        <w:pStyle w:val="ListBullet"/>
      </w:pPr>
      <w:r>
        <w:rPr>
          <w:b/>
        </w:rPr>
        <w:t>m1 — "Milling" is mislabelled against its own cited literature. Foreword vs. §4.2.</w:t>
      </w:r>
      <w:r>
        <w:t xml:space="preserve"> The Foreword correctly describes milling as "the ordinary human requirement for corroboration before uprooting a household" — i.e., information-seeking. But §4.2 assigns the </w:t>
      </w:r>
      <w:r>
        <w:rPr>
          <w:i/>
        </w:rPr>
        <w:t>label</w:t>
      </w:r>
      <w:r>
        <w:t xml:space="preserve"> "Milling" to the post-belief preparation stage ("preparing to leave: gathering family members, packing"), which in disaster sociology is not milling at all; the corroboration behaviour is the model's "Seeking" stage. The taxonomy contradicts both the Foreword and the discipline. Either rename the stage or add a sentence justifying the redefinition.</w:t>
      </w:r>
    </w:p>
    <w:p>
      <w:pPr>
        <w:pStyle w:val="ListBullet"/>
      </w:pPr>
      <w:r>
        <w:rPr>
          <w:b/>
        </w:rPr>
        <w:t>m2 — No References / bibliography. Throughout.</w:t>
      </w:r>
      <w:r>
        <w:t xml:space="preserve"> The report names scholars (Quarantelli, Drabek) and cites dozens of legal instruments but contains no reference list, so none can be traced or verified by a reader. Add a References section (and, per the delivery note below, inline numeric markers).</w:t>
      </w:r>
    </w:p>
    <w:p>
      <w:pPr>
        <w:pStyle w:val="ListBullet"/>
      </w:pPr>
      <w:r>
        <w:rPr>
          <w:b/>
        </w:rPr>
        <w:t>m3 — The uncalibrated-timing caveat is stated five times: §1.7, §4.3, §8.1, §10.2, §12.3.</w:t>
      </w:r>
      <w:r>
        <w:t xml:space="preserve"> It is the right caveat, but state it once with force and cross-reference thereafter.</w:t>
      </w:r>
    </w:p>
    <w:p>
      <w:pPr>
        <w:pStyle w:val="ListBullet"/>
      </w:pPr>
      <w:r>
        <w:rPr>
          <w:b/>
        </w:rPr>
        <w:t>m4 — Sliders are not independent, disclosed only in passing. §5.3.</w:t>
      </w:r>
      <w:r>
        <w:t xml:space="preserve"> The note that raising the elder ratio "quietly suppresses" later categories because assignment is priority-ordered and mutually exclusive (§5.3, §10.4) is an important usability and interpretation caveat; it deserves to sit with the population settings up front, not be discovered mid-paragraph.</w:t>
      </w:r>
    </w:p>
    <w:p>
      <w:pPr>
        <w:pStyle w:val="ListBullet"/>
      </w:pPr>
      <w:r>
        <w:rPr>
          <w:b/>
        </w:rPr>
        <w:t>m5 — Two self-identified defects (infrastructure-damage formula vs. guide, §5.2; misinformation inert with one gate, §5.2/§10.8) are catalogued but not resolved.</w:t>
      </w:r>
      <w:r>
        <w:t xml:space="preserve"> Since only one formula (infrastructure) was checked against actual behaviour while all other §5 numbers are asserted "as in the source code," state whether the remaining formulas were verified against runtime behaviour or only read from source.</w:t>
      </w:r>
    </w:p>
    <w:p>
      <w:pPr>
        <w:pStyle w:val="ListBullet"/>
      </w:pPr>
      <w:r>
        <w:rPr>
          <w:b/>
        </w:rPr>
        <w:t>m6 — No user/classroom evaluation despite the teaching claim. §11.2.</w:t>
      </w:r>
      <w:r>
        <w:t xml:space="preserve"> The report asserts the tool "suits a classroom particularly well" but offers no evidence it has been used with students. Either soften to a design intention or add even lightweight evaluation.</w:t>
      </w:r>
    </w:p>
    <w:p>
      <w:pPr>
        <w:pStyle w:val="ListBullet"/>
      </w:pPr>
      <w:r>
        <w:rPr>
          <w:b/>
        </w:rPr>
        <w:t>m7 — Reproducibility pointer missing. §1.6, §11.1.</w:t>
      </w:r>
      <w:r>
        <w:t xml:space="preserve"> The report refers to "the repository" repeatedly but the document itself gives no link, version, or commit, so the artefact the report describes is not locatable from the paper.</w:t>
      </w:r>
    </w:p>
    <w:p>
      <w:pPr>
        <w:pStyle w:val="Heading2"/>
      </w:pPr>
      <w:r>
        <w:t>Things the report gets right</w:t>
      </w:r>
    </w:p>
    <w:p>
      <w:pPr>
        <w:pStyle w:val="ListBullet"/>
      </w:pPr>
      <w:r>
        <w:rPr>
          <w:b/>
        </w:rPr>
        <w:t>Vulnerability-as-time is a genuinely good idea, and well argued (§8.2, §12.2).</w:t>
      </w:r>
      <w:r>
        <w:t xml:space="preserve"> Expressing protected status as extra ticks rather than a standing risk score, so that vulnerability is "harmless until it meets a constraint," is both conceptually elegant and a more honest model of how disadvantage actually produces harm. This is the paper's real contribution and it should be foregrounded.</w:t>
      </w:r>
    </w:p>
    <w:p>
      <w:pPr>
        <w:pStyle w:val="ListBullet"/>
      </w:pPr>
      <w:r>
        <w:rPr>
          <w:b/>
        </w:rPr>
        <w:t>Exemplary honesty about limitations (§8, §10).</w:t>
      </w:r>
      <w:r>
        <w:t xml:space="preserve"> The refusal to label ticks as minutes (§4.3, §8.1), the insistence that no single-run number means anything (§8.5), the frank list of absent categories — wounded and sick, persons with disabilities, the undocumented (§10.5) — and the acknowledgement that compounding vulnerability is outside the model (§10.4) together model the intellectual honesty many stronger papers lack.</w:t>
      </w:r>
    </w:p>
    <w:p>
      <w:pPr>
        <w:pStyle w:val="ListBullet"/>
      </w:pPr>
      <w:r>
        <w:rPr>
          <w:b/>
        </w:rPr>
        <w:t>The IHL corrections are careful and, on checking, correct (§9.3–9.7).</w:t>
      </w:r>
      <w:r>
        <w:t xml:space="preserve"> Diagnosing that Rule 99 governs arbitrary deprivation of liberty rather than a right to leave, that AP I Art. 16 concerns medical duties rather than pregnant women, and that Art. 78 is limited to cross-border child evacuation is precise, substantively accurate legal scholarship. Whatever else changes, protect this.</w:t>
      </w:r>
    </w:p>
    <w:p>
      <w:pPr>
        <w:pStyle w:val="ListBullet"/>
      </w:pPr>
      <w:r>
        <w:rPr>
          <w:b/>
        </w:rPr>
        <w:t>The pedagogical instinct is sound (§7.3, §11.2).</w:t>
      </w:r>
      <w:r>
        <w:t xml:space="preserve"> Keeping every agent named and traceable through an event log, so that outcomes read as "why was the Okafor family still milling when the North corridor closed" rather than as a percentage, is exactly the right design choice for a teaching tool and is defended convincingly.</w:t>
      </w:r>
    </w:p>
    <w:p>
      <w:pPr>
        <w:pStyle w:val="Heading2"/>
      </w:pPr>
      <w:r>
        <w:t>Verdict</w:t>
      </w:r>
    </w:p>
    <w:p>
      <w:r>
        <w:rPr>
          <w:b/>
        </w:rPr>
        <w:t>Major revisions.</w:t>
      </w:r>
      <w:r>
        <w:t xml:space="preserve"> The core intuition (vulnerability as time), the IHL-to-behaviour mapping, and the intellectual honesty are real and worth publishing — but the document currently describes a tool rather than presenting research about it, and asserts behaviours it never demonstrates.</w:t>
      </w:r>
    </w:p>
    <w:p>
      <w:r>
        <w:t xml:space="preserve">The single highest-value revision: </w:t>
      </w:r>
      <w:r>
        <w:rPr>
          <w:b/>
        </w:rPr>
        <w:t>run the experiments the paper already prescribes and report them.</w:t>
      </w:r>
      <w:r>
        <w:t xml:space="preserve"> Execute Monte Carlo batches for two or three headline comparisons (foot vs. car under a fixed corridor window; degraded vs. clear information; misinformation on vs. off), report the outcome distributions with uncertainty, and use them to replace asserted "findings" (§5.5, §12.1) with demonstrated ones — while separating what the model was designed to do from what emerges. That one change resolves the empirical gap (Issue 2), disciplines the circular-findings problem (Issue 3), and gives the strong central argument the evidence it deserves.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