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Peer Review — *Exodus: A Unified Civilian Evacuation Risk Platform*</w:t>
      </w:r>
    </w:p>
    <w:p>
      <w:r>
        <w:rPr>
          <w:b/>
        </w:rPr>
        <w:t>Reviewer role:</w:t>
      </w:r>
      <w:r>
        <w:t xml:space="preserve"> External referee, reviewing as a demanding-but-fair reader for a strong applied-technology / humanitarian-informatics venue. Because Exodus is a running system rather than a written report, the object under review is the artefact plus its documentation: the repository (</w:t>
      </w:r>
      <w:r>
        <w:rPr>
          <w:rFonts w:ascii="Courier New" w:hAnsi="Courier New"/>
        </w:rPr>
        <w:t>README.md</w:t>
      </w:r>
      <w:r>
        <w:t xml:space="preserve">, </w:t>
      </w:r>
      <w:r>
        <w:rPr>
          <w:rFonts w:ascii="Courier New" w:hAnsi="Courier New"/>
        </w:rPr>
        <w:t>ARCHITECTURE.md</w:t>
      </w:r>
      <w:r>
        <w:t>), the server-side model code, and the in-app methodological prose that the tabs display to a user.</w:t>
      </w:r>
    </w:p>
    <w:p>
      <w:r>
        <w:rPr>
          <w:b/>
        </w:rPr>
        <w:t>Recommendation:</w:t>
      </w:r>
      <w:r>
        <w:t xml:space="preserve"> </w:t>
      </w:r>
      <w:r>
        <w:rPr>
          <w:b/>
        </w:rPr>
        <w:t>Major revisions</w:t>
      </w:r>
    </w:p>
    <w:p>
      <w:r>
        <w:rPr>
          <w:b/>
        </w:rPr>
        <w:t>Date:</w:t>
      </w:r>
      <w:r>
        <w:t xml:space="preserve"> 22 July 2026</w:t>
      </w:r>
    </w:p>
    <w:p>
      <w:r>
        <w:rPr>
          <w:b/>
        </w:rPr>
        <w:t>Reviewed build:</w:t>
      </w:r>
      <w:r>
        <w:t xml:space="preserve"> </w:t>
      </w:r>
      <w:r>
        <w:rPr>
          <w:rFonts w:ascii="Courier New" w:hAnsi="Courier New"/>
        </w:rPr>
        <w:t>Ethical-Tech-CoLab/Exodus</w:t>
      </w:r>
      <w:r>
        <w:t xml:space="preserve"> @ main (last commit 1 July 2026); live at exodus-ruddy.vercel.app</w:t>
      </w:r>
    </w:p>
    <w:p>
      <w:pPr>
        <w:pStyle w:val="Heading2"/>
      </w:pPr>
      <w:r>
        <w:t>Summary of the submission</w:t>
      </w:r>
    </w:p>
    <w:p>
      <w:r>
        <w:t>Exodus is a FastAPI application that puts several Ethical Tech CoLab evacuation tools behind one backend and one design language. The shell (</w:t>
      </w:r>
      <w:r>
        <w:rPr>
          <w:rFonts w:ascii="Courier New" w:hAnsi="Courier New"/>
        </w:rPr>
        <w:t>static/index.html</w:t>
      </w:r>
      <w:r>
        <w:t xml:space="preserve">) presents a six-step stepper — </w:t>
      </w:r>
      <w:r>
        <w:rPr>
          <w:b/>
        </w:rPr>
        <w:t>01 Locate (EII)</w:t>
      </w:r>
      <w:r>
        <w:t xml:space="preserve">, </w:t>
      </w:r>
      <w:r>
        <w:rPr>
          <w:b/>
        </w:rPr>
        <w:t>02 Assess (CERAI)</w:t>
      </w:r>
      <w:r>
        <w:t xml:space="preserve">, </w:t>
      </w:r>
      <w:r>
        <w:rPr>
          <w:b/>
        </w:rPr>
        <w:t>03 Plan (ERCF)</w:t>
      </w:r>
      <w:r>
        <w:t xml:space="preserve">, </w:t>
      </w:r>
      <w:r>
        <w:rPr>
          <w:b/>
        </w:rPr>
        <w:t>04 Routes (India)</w:t>
      </w:r>
      <w:r>
        <w:t xml:space="preserve">, </w:t>
      </w:r>
      <w:r>
        <w:rPr>
          <w:b/>
        </w:rPr>
        <w:t>05 Behavior (Households)</w:t>
      </w:r>
      <w:r>
        <w:t xml:space="preserve">, and a final </w:t>
      </w:r>
      <w:r>
        <w:rPr>
          <w:b/>
        </w:rPr>
        <w:t>Brief</w:t>
      </w:r>
      <w:r>
        <w:t xml:space="preserve"> — each tab an iframe over a formerly standalone project, with a small </w:t>
      </w:r>
      <w:r>
        <w:rPr>
          <w:rFonts w:ascii="Courier New" w:hAnsi="Courier New"/>
        </w:rPr>
        <w:t>postMessage</w:t>
      </w:r>
      <w:r>
        <w:t xml:space="preserve"> bus passing scenario context between them. The server contributes a shared live-data layer (ACAPS INFORM Severity, Tavily, ACLED, GDELT 2.0, Open-Meteo, Anthropic for country context), a SQLite scenario store, and the ERCF calculation engine: a weighted 7-dimension risk score binned into five levels, a resource estimator (vehicles, personnel, water, food, fuel), and two cost models — the cost of remaining in place versus the cost of evacuating. The Brief tab calls a single </w:t>
      </w:r>
      <w:r>
        <w:rPr>
          <w:rFonts w:ascii="Courier New" w:hAnsi="Courier New"/>
        </w:rPr>
        <w:t>/api/synthesis</w:t>
      </w:r>
      <w:r>
        <w:t xml:space="preserve"> endpoint that runs all three indices over one input bundle and returns a one-word verdict: MONITOR, PREPARE, HOLD, or EVACUATE.</w:t>
      </w:r>
    </w:p>
    <w:p>
      <w:r>
        <w:t>The integration itself is the contribution. Nothing else in the CoLab portfolio takes the reviewed-separately instruments — an index, an assessment framework, a cost model, a routing simulator, a behavioural model — and makes them consume a single scenario. That is a real and non-trivial piece of research infrastructure, and it is the thing to protect.</w:t>
      </w:r>
    </w:p>
    <w:p>
      <w:pPr>
        <w:pStyle w:val="Heading2"/>
      </w:pPr>
      <w:r>
        <w:t>Strengths</w:t>
      </w:r>
    </w:p>
    <w:p>
      <w:pPr>
        <w:pStyle w:val="ListBullet"/>
      </w:pPr>
      <w:r>
        <w:rPr>
          <w:b/>
        </w:rPr>
        <w:t>The unification is genuine, not cosmetic.</w:t>
      </w:r>
      <w:r>
        <w:t xml:space="preserve"> </w:t>
      </w:r>
      <w:r>
        <w:rPr>
          <w:rFonts w:ascii="Courier New" w:hAnsi="Courier New"/>
        </w:rPr>
        <w:t>/api/synthesis</w:t>
      </w:r>
      <w:r>
        <w:t xml:space="preserve"> (main.py:411–479) is the strongest single piece of work here: one input bundle resolves INFORM context by ISO3, fills any missing ERCF dimension from severity-derived defaults, runs ERCF, CERAI and both cost models over the </w:t>
      </w:r>
      <w:r>
        <w:rPr>
          <w:i/>
        </w:rPr>
        <w:t>same</w:t>
      </w:r>
      <w:r>
        <w:t xml:space="preserve"> dimension vector, and returns everything — including </w:t>
      </w:r>
      <w:r>
        <w:rPr>
          <w:rFonts w:ascii="Courier New" w:hAnsi="Courier New"/>
        </w:rPr>
        <w:t>dims_used</w:t>
      </w:r>
      <w:r>
        <w:t>, so a reader can see exactly which inputs produced the output. Returning the inputs alongside the outputs is good practice and should be kept.</w:t>
      </w:r>
    </w:p>
    <w:p>
      <w:pPr>
        <w:pStyle w:val="ListBullet"/>
      </w:pPr>
      <w:r>
        <w:rPr>
          <w:b/>
        </w:rPr>
        <w:t>Degradation is designed for, not bolted on.</w:t>
      </w:r>
      <w:r>
        <w:t xml:space="preserve"> Every external dependency has a fallback: </w:t>
      </w:r>
      <w:r>
        <w:rPr>
          <w:rFonts w:ascii="Courier New" w:hAnsi="Courier New"/>
        </w:rPr>
        <w:t>context_ai</w:t>
      </w:r>
      <w:r>
        <w:t xml:space="preserve"> falls back to static world-risk data without an Anthropic key; </w:t>
      </w:r>
      <w:r>
        <w:rPr>
          <w:rFonts w:ascii="Courier New" w:hAnsi="Courier New"/>
        </w:rPr>
        <w:t>/health</w:t>
      </w:r>
      <w:r>
        <w:t xml:space="preserve"> reports which keys are present rather than pretending; startup survives a read-only filesystem (main.py:132–140) so a Vercel deploy does not die on SQLite. For a demonstrator that has to keep working in a seminar room with no keys loaded, this is exactly right.</w:t>
      </w:r>
    </w:p>
    <w:p>
      <w:pPr>
        <w:pStyle w:val="ListBullet"/>
      </w:pPr>
      <w:r>
        <w:rPr>
          <w:b/>
        </w:rPr>
        <w:t>A single source of truth for the map data.</w:t>
      </w:r>
      <w:r>
        <w:t xml:space="preserve"> </w:t>
      </w:r>
      <w:r>
        <w:rPr>
          <w:rFonts w:ascii="Courier New" w:hAnsi="Courier New"/>
        </w:rPr>
        <w:t>world_risk.py</w:t>
      </w:r>
      <w:r>
        <w:t xml:space="preserve"> re-parses </w:t>
      </w:r>
      <w:r>
        <w:rPr>
          <w:rFonts w:ascii="Courier New" w:hAnsi="Courier New"/>
        </w:rPr>
        <w:t>static/data.js</w:t>
      </w:r>
      <w:r>
        <w:t xml:space="preserve"> at import rather than duplicating the INFORM snapshot server-side, so the map UI and the API cannot drift apart. Small choice, correct instinct.</w:t>
      </w:r>
    </w:p>
    <w:p>
      <w:pPr>
        <w:pStyle w:val="ListBullet"/>
      </w:pPr>
      <w:r>
        <w:rPr>
          <w:b/>
        </w:rPr>
        <w:t>The Sphere-derived planning figures are right.</w:t>
      </w:r>
      <w:r>
        <w:t xml:space="preserve"> 15 L water/person/day and 2,100 kcal/person/day (calculators.py:68–69) are the standard Sphere minima, and the fuel and bus-capacity assumptions are returned explicitly in an </w:t>
      </w:r>
      <w:r>
        <w:rPr>
          <w:rFonts w:ascii="Courier New" w:hAnsi="Courier New"/>
        </w:rPr>
        <w:t>assumptions</w:t>
      </w:r>
      <w:r>
        <w:t xml:space="preserve"> block rather than buried. Where the code borrows a published standard, it borrows it correctly.</w:t>
      </w:r>
    </w:p>
    <w:p>
      <w:pPr>
        <w:pStyle w:val="ListBullet"/>
      </w:pPr>
      <w:r>
        <w:rPr>
          <w:b/>
        </w:rPr>
        <w:t>The CERAI tab's in-app methodology is the best-argued prose in the portfolio.</w:t>
      </w:r>
      <w:r>
        <w:t xml:space="preserve"> The endangerment/feasibility separation, the geometric-mean justification, the defence of the vulnerability multiplier as a stratifier rather than a double-count, and above all the statement that </w:t>
      </w:r>
      <w:r>
        <w:rPr>
          <w:i/>
        </w:rPr>
        <w:t>"Financial feasibility is a constraint on the actionability of evacuation, not a measure of its necessity. IHL obligations exist independently of cost"</w:t>
      </w:r>
      <w:r>
        <w:t xml:space="preserve"> (risk_assessment.html:1059, 1109, 1124, 1132) — this is publishable-quality reasoning sitting inside a tab. It is also, unfortunately, contradicted by the platform's own final screen; see Major issue 2.</w:t>
      </w:r>
    </w:p>
    <w:p>
      <w:pPr>
        <w:pStyle w:val="Heading2"/>
      </w:pPr>
      <w:r>
        <w:t>Major issues</w:t>
      </w:r>
    </w:p>
    <w:p>
      <w:pPr>
        <w:pStyle w:val="ListNumber"/>
      </w:pPr>
      <w:r>
        <w:rPr>
          <w:b/>
        </w:rPr>
        <w:t>The casualty model returns figures that the platform's own flagship case refutes.</w:t>
      </w:r>
      <w:r>
        <w:t xml:space="preserve"> </w:t>
      </w:r>
      <w:r>
        <w:rPr>
          <w:rFonts w:ascii="Courier New" w:hAnsi="Courier New"/>
        </w:rPr>
        <w:t>calculate_staying_costs</w:t>
      </w:r>
      <w:r>
        <w:t xml:space="preserve"> (calculators.py:164) computes </w:t>
      </w:r>
      <w:r>
        <w:rPr>
          <w:rFonts w:ascii="Courier New" w:hAnsi="Courier New"/>
        </w:rPr>
        <w:t>casualty_rate_per_day = 0.0008 × (1 + risk_level × 0.9) × morbidity</w:t>
      </w:r>
      <w:r>
        <w:t xml:space="preserve">. Run the repository's own Mariupol record through it — </w:t>
      </w:r>
      <w:r>
        <w:rPr>
          <w:rFonts w:ascii="Courier New" w:hAnsi="Courier New"/>
        </w:rPr>
        <w:t>historical_data.py</w:t>
      </w:r>
      <w:r>
        <w:t xml:space="preserve"> case 1 gives 430,000 at risk, 86 days, ERCF level 4, siege — and the model projects </w:t>
      </w:r>
      <w:r>
        <w:rPr>
          <w:b/>
        </w:rPr>
        <w:t>61,714 deaths in the first 30 days (14.4% of the population) and 176,912 over the full 86 days, or 41% of everyone in the city.</w:t>
      </w:r>
      <w:r>
        <w:t xml:space="preserve"> OHCHR verified 1,348 civilian deaths in Mariupol [1]; Human Rights Watch's mass-grave analysis documents at least 10,284 burials including an unknown number of combatants [2]; the mayor's contested high-end estimate was ~21,000 [3]. The model is between 7× and 130× above the documented range, and it is the number the Brief tab prints as "casualties prevented." The base rate of 0.0008 carries no citation anywhere in the repository. </w:t>
      </w:r>
      <w:r>
        <w:rPr>
          <w:i/>
        </w:rPr>
        <w:t>Fix:</w:t>
      </w:r>
      <w:r>
        <w:t xml:space="preserve"> re-anchor the daily rate against two or three documented sieges (Mariupol, East Aleppo, Sarajevo), state the anchoring in a comment and in the UI, and add a regression test that asserts the Mariupol reconstruction lands inside the documented range. Until then, label the casualty figure as illustrative and stop describing it as prevented deaths.</w:t>
      </w:r>
    </w:p>
    <w:p>
      <w:pPr>
        <w:pStyle w:val="ListNumber"/>
      </w:pPr>
      <w:r>
        <w:rPr>
          <w:b/>
        </w:rPr>
        <w:t>The Brief's verdict is decided on dollars, and casualties are passed in but never used.</w:t>
      </w:r>
      <w:r>
        <w:t xml:space="preserve"> </w:t>
      </w:r>
      <w:r>
        <w:rPr>
          <w:rFonts w:ascii="Courier New" w:hAnsi="Courier New"/>
        </w:rPr>
        <w:t>_recommend</w:t>
      </w:r>
      <w:r>
        <w:t xml:space="preserve"> (main.py:375–408) takes </w:t>
      </w:r>
      <w:r>
        <w:rPr>
          <w:rFonts w:ascii="Courier New" w:hAnsi="Courier New"/>
        </w:rPr>
        <w:t>casualties</w:t>
      </w:r>
      <w:r>
        <w:t xml:space="preserve"> as an argument and uses it only to format a sentence; the actual branch conditions are ERCF level, </w:t>
      </w:r>
      <w:r>
        <w:rPr>
          <w:rFonts w:ascii="Courier New" w:hAnsi="Courier New"/>
        </w:rPr>
        <w:t>delta = stay_total − evac_total</w:t>
      </w:r>
      <w:r>
        <w:t xml:space="preserve">, and feasibility. So a level-4 "Critical" scenario returns </w:t>
      </w:r>
      <w:r>
        <w:rPr>
          <w:b/>
        </w:rPr>
        <w:t>HOLD</w:t>
      </w:r>
      <w:r>
        <w:t xml:space="preserve"> whenever evacuating costs more money than staying — the rationale string reads "evacuation cost currently exceeds projected cost of staying. Reassess at next decision point." No monetised value of a life enters the comparison; a projected 24,685 deaths and a projected 5 deaths produce identical verdicts. This is the exact inversion of the principle the CERAI tab argues for two clicks earlier. </w:t>
      </w:r>
      <w:r>
        <w:rPr>
          <w:i/>
        </w:rPr>
        <w:t>Fix:</w:t>
      </w:r>
      <w:r>
        <w:t xml:space="preserve"> either remove cost from the verdict logic entirely and let the cost panel inform without deciding, or make the life-valuation explicit and defend it. The intermediate option — keep the dollar comparison but never let it downgrade a verdict below PREPARE at ERCF ≥ 3 — is a two-line change and would be defensible.</w:t>
      </w:r>
    </w:p>
    <w:p>
      <w:pPr>
        <w:pStyle w:val="ListNumber"/>
      </w:pPr>
      <w:r>
        <w:rPr>
          <w:b/>
        </w:rPr>
        <w:t>The comparison that drives the verdict is not like-for-like.</w:t>
      </w:r>
      <w:r>
        <w:t xml:space="preserve"> In </w:t>
      </w:r>
      <w:r>
        <w:rPr>
          <w:rFonts w:ascii="Courier New" w:hAnsi="Courier New"/>
        </w:rPr>
        <w:t>/api/synthesis</w:t>
      </w:r>
      <w:r>
        <w:t xml:space="preserve">, the cost of staying is computed on </w:t>
      </w:r>
      <w:r>
        <w:rPr>
          <w:rFonts w:ascii="Courier New" w:hAnsi="Courier New"/>
        </w:rPr>
        <w:t>remaining_pct</w:t>
      </w:r>
      <w:r>
        <w:t xml:space="preserve"> of the population (default </w:t>
      </w:r>
      <w:r>
        <w:rPr>
          <w:b/>
        </w:rPr>
        <w:t>0.4</w:t>
      </w:r>
      <w:r>
        <w:t xml:space="preserve">) while the cost of evacuating is computed on the </w:t>
      </w:r>
      <w:r>
        <w:rPr>
          <w:b/>
        </w:rPr>
        <w:t>full</w:t>
      </w:r>
      <w:r>
        <w:t xml:space="preserve"> population (</w:t>
      </w:r>
      <w:r>
        <w:rPr>
          <w:rFonts w:ascii="Courier New" w:hAnsi="Courier New"/>
        </w:rPr>
        <w:t>move_total = move_per_person × population</w:t>
      </w:r>
      <w:r>
        <w:t xml:space="preserve">, calculators.py:267; </w:t>
      </w:r>
      <w:r>
        <w:rPr>
          <w:rFonts w:ascii="Courier New" w:hAnsi="Courier New"/>
        </w:rPr>
        <w:t>"evacuated_population": population</w:t>
      </w:r>
      <w:r>
        <w:t xml:space="preserve">, line 279). The default run therefore compares the cost of 172,000 people staying against the cost of 430,000 people leaving, and calls the difference a decision-relevant delta. This biases every verdict toward HOLD, and it compounds Major issue 2 rather than offsetting it. </w:t>
      </w:r>
      <w:r>
        <w:rPr>
          <w:i/>
        </w:rPr>
        <w:t>Fix:</w:t>
      </w:r>
      <w:r>
        <w:t xml:space="preserve"> evacuate </w:t>
      </w:r>
      <w:r>
        <w:rPr>
          <w:rFonts w:ascii="Courier New" w:hAnsi="Courier New"/>
        </w:rPr>
        <w:t>1 − remaining_pct</w:t>
      </w:r>
      <w:r>
        <w:t xml:space="preserve"> of the population, or state prominently that the two figures are not a partition of the same population.</w:t>
      </w:r>
    </w:p>
    <w:p>
      <w:pPr>
        <w:pStyle w:val="ListNumber"/>
      </w:pPr>
      <w:r>
        <w:rPr>
          <w:b/>
        </w:rPr>
        <w:t>Two different models are both called CERAI, and they disagree.</w:t>
      </w:r>
      <w:r>
        <w:t xml:space="preserve"> The Assess tab implements CERAI v3 client-side: three dimensions, geometric-mean aggregation, a 0.7–1.3 vulnerability multiplier, ~40 named inputs, a documented trajectory calculation. The server implements </w:t>
      </w:r>
      <w:r>
        <w:rPr>
          <w:rFonts w:ascii="Courier New" w:hAnsi="Courier New"/>
        </w:rPr>
        <w:t>calculate_cerai_scores</w:t>
      </w:r>
      <w:r>
        <w:t xml:space="preserve"> (calculators.py:198–234): a linear blend of the seven </w:t>
      </w:r>
      <w:r>
        <w:rPr>
          <w:i/>
        </w:rPr>
        <w:t>ERCF</w:t>
      </w:r>
      <w:r>
        <w:t xml:space="preserve"> dimensions, arithmetic weights, no vulnerability multiplier, no geometric mean. The Brief tab reports the second one under the same name and the same gauge labels. A user who assesses a scenario in tab 02 and then reads the Brief will see two different endangerment scores for one situation with no indication that a different model produced each. </w:t>
      </w:r>
      <w:r>
        <w:rPr>
          <w:i/>
        </w:rPr>
        <w:t>Fix:</w:t>
      </w:r>
      <w:r>
        <w:t xml:space="preserve"> either have </w:t>
      </w:r>
      <w:r>
        <w:rPr>
          <w:rFonts w:ascii="Courier New" w:hAnsi="Courier New"/>
        </w:rPr>
        <w:t>/api/synthesis</w:t>
      </w:r>
      <w:r>
        <w:t xml:space="preserve"> call the real CERAI computation, or rename the server-side function (</w:t>
      </w:r>
      <w:r>
        <w:rPr>
          <w:rFonts w:ascii="Courier New" w:hAnsi="Courier New"/>
        </w:rPr>
        <w:t>cerai_proxy_scores</w:t>
      </w:r>
      <w:r>
        <w:t>) and label the Brief gauges as a fast approximation with the divergence stated.</w:t>
      </w:r>
    </w:p>
    <w:p>
      <w:pPr>
        <w:pStyle w:val="ListNumber"/>
      </w:pPr>
      <w:r>
        <w:rPr>
          <w:b/>
        </w:rPr>
        <w:t>The server-side CERAI cannot reach its own extremes.</w:t>
      </w:r>
      <w:r>
        <w:t xml:space="preserve"> With weights summing to 1.0 over 1–5 inputs, </w:t>
      </w:r>
      <w:r>
        <w:rPr>
          <w:rFonts w:ascii="Courier New" w:hAnsi="Courier New"/>
        </w:rPr>
        <w:t>endangerment = e_raw × 20</w:t>
      </w:r>
      <w:r>
        <w:t xml:space="preserve"> is bounded to </w:t>
      </w:r>
      <w:r>
        <w:rPr>
          <w:b/>
        </w:rPr>
        <w:t>[20, 100]</w:t>
      </w:r>
      <w:r>
        <w:t xml:space="preserve"> and </w:t>
      </w:r>
      <w:r>
        <w:rPr>
          <w:rFonts w:ascii="Courier New" w:hAnsi="Courier New"/>
        </w:rPr>
        <w:t>feasibility = 100 − f_raw × 20</w:t>
      </w:r>
      <w:r>
        <w:t xml:space="preserve"> to </w:t>
      </w:r>
      <w:r>
        <w:rPr>
          <w:b/>
        </w:rPr>
        <w:t>[0, 80]</w:t>
      </w:r>
      <w:r>
        <w:t xml:space="preserve"> (calculators.py:205–214). Consequences: the </w:t>
      </w:r>
      <w:r>
        <w:rPr>
          <w:rFonts w:ascii="Courier New" w:hAnsi="Courier New"/>
        </w:rPr>
        <w:t>"Minimal"</w:t>
      </w:r>
      <w:r>
        <w:t xml:space="preserve"> endangerment label (&lt; 20) is unreachable dead code; the most benign scenario the platform can express still reports endangerment 20 / "Low"; and feasibility can never exceed 80 no matter how permissive conditions are. Because the EVACUATE branch requires </w:t>
      </w:r>
      <w:r>
        <w:rPr>
          <w:rFonts w:ascii="Courier New" w:hAnsi="Courier New"/>
        </w:rPr>
        <w:t>feasibility ≥ 25</w:t>
      </w:r>
      <w:r>
        <w:t xml:space="preserve"> and severe scenarios push feasibility low, the platform's worst cases are structurally steered toward HOLD. </w:t>
      </w:r>
      <w:r>
        <w:rPr>
          <w:i/>
        </w:rPr>
        <w:t>Fix:</w:t>
      </w:r>
      <w:r>
        <w:t xml:space="preserve"> rescale to </w:t>
      </w:r>
      <w:r>
        <w:rPr>
          <w:rFonts w:ascii="Courier New" w:hAnsi="Courier New"/>
        </w:rPr>
        <w:t>(x − 1)/4 × 100</w:t>
      </w:r>
      <w:r>
        <w:t xml:space="preserve"> so both scores span 0–100, then re-check every band threshold against the new distribution.</w:t>
      </w:r>
    </w:p>
    <w:p>
      <w:pPr>
        <w:pStyle w:val="ListNumber"/>
      </w:pPr>
      <w:r>
        <w:rPr>
          <w:b/>
        </w:rPr>
        <w:t>The NATO cross-reference is misattributed.</w:t>
      </w:r>
      <w:r>
        <w:t xml:space="preserve"> </w:t>
      </w:r>
      <w:r>
        <w:rPr>
          <w:rFonts w:ascii="Courier New" w:hAnsi="Courier New"/>
        </w:rPr>
        <w:t>_NATO</w:t>
      </w:r>
      <w:r>
        <w:t xml:space="preserve"> (calculators.py:33–34) maps ERCF levels to "PHASE 0 — Routine / PHASE 1 — Standfast / PHASE 2 — Restricted / PHASE 3 — Reduce / PHASE 4 — Evacuate" under the comment "NATO STANAG equivalent," and the string is surfaced to users as </w:t>
      </w:r>
      <w:r>
        <w:rPr>
          <w:rFonts w:ascii="Courier New" w:hAnsi="Courier New"/>
        </w:rPr>
        <w:t>nato_equivalent</w:t>
      </w:r>
      <w:r>
        <w:t xml:space="preserve">. AJP-3.4.2, the Allied Joint Doctrine for Non-Combatant Evacuation Operations (Edition A, Version 1), states that a NEO "will normally be conducted in four phases: preparatory operations, preliminary operations, evacuation operations, and withdrawal and recovery" (§0501) [4]. The words </w:t>
      </w:r>
      <w:r>
        <w:rPr>
          <w:i/>
        </w:rPr>
        <w:t>standfast</w:t>
      </w:r>
      <w:r>
        <w:t xml:space="preserve">, </w:t>
      </w:r>
      <w:r>
        <w:rPr>
          <w:i/>
        </w:rPr>
        <w:t>restricted</w:t>
      </w:r>
      <w:r>
        <w:t xml:space="preserve"> and </w:t>
      </w:r>
      <w:r>
        <w:rPr>
          <w:i/>
        </w:rPr>
        <w:t>reduce</w:t>
      </w:r>
      <w:r>
        <w:t xml:space="preserve"> do not appear in that publication at all, and no STANAG number is cited in the code. The ladder resembles a diplomatic-mission drawdown posture rather than NATO doctrine; AJP-3.4.2's own drawdown vocabulary is "authorized departure" and "ordered departure" (§0403). Presenting an uncited ladder as a doctrinal equivalence lends borrowed authority to a researcher-defined scale, which is precisely the failure mode the CoLab's other reviews flag. </w:t>
      </w:r>
      <w:r>
        <w:rPr>
          <w:i/>
        </w:rPr>
        <w:t>Fix:</w:t>
      </w:r>
      <w:r>
        <w:t xml:space="preserve"> cite the exact source if one exists; otherwise rename the field to something honest (</w:t>
      </w:r>
      <w:r>
        <w:rPr>
          <w:rFonts w:ascii="Courier New" w:hAnsi="Courier New"/>
        </w:rPr>
        <w:t>posture_label</w:t>
      </w:r>
      <w:r>
        <w:t>) and drop "NATO."</w:t>
      </w:r>
    </w:p>
    <w:p>
      <w:pPr>
        <w:pStyle w:val="ListNumber"/>
      </w:pPr>
      <w:r>
        <w:rPr>
          <w:b/>
        </w:rPr>
        <w:t>`conflict_type: "auto"` promises inference the code does not perform.</w:t>
      </w:r>
      <w:r>
        <w:t xml:space="preserve"> </w:t>
      </w:r>
      <w:r>
        <w:rPr>
          <w:rFonts w:ascii="Courier New" w:hAnsi="Courier New"/>
        </w:rPr>
        <w:t>_normalize_conflict_type</w:t>
      </w:r>
      <w:r>
        <w:t xml:space="preserve"> (calculators.py:140–143) resolves anything unrecognised — including the literal string </w:t>
      </w:r>
      <w:r>
        <w:rPr>
          <w:rFonts w:ascii="Courier New" w:hAnsi="Courier New"/>
        </w:rPr>
        <w:t>"auto"</w:t>
      </w:r>
      <w:r>
        <w:t xml:space="preserve"> — to </w:t>
      </w:r>
      <w:r>
        <w:rPr>
          <w:rFonts w:ascii="Courier New" w:hAnsi="Courier New"/>
        </w:rPr>
        <w:t>"regional"</w:t>
      </w:r>
      <w:r>
        <w:t xml:space="preserve">, the </w:t>
      </w:r>
      <w:r>
        <w:rPr>
          <w:i/>
        </w:rPr>
        <w:t>mildest</w:t>
      </w:r>
      <w:r>
        <w:t xml:space="preserve"> of the four conflict types. </w:t>
      </w:r>
      <w:r>
        <w:rPr>
          <w:rFonts w:ascii="Courier New" w:hAnsi="Courier New"/>
        </w:rPr>
        <w:t>/api/synthesis</w:t>
      </w:r>
      <w:r>
        <w:t xml:space="preserve"> maps </w:t>
      </w:r>
      <w:r>
        <w:rPr>
          <w:rFonts w:ascii="Courier New" w:hAnsi="Courier New"/>
        </w:rPr>
        <w:t>conflict_pattern = 5</w:t>
      </w:r>
      <w:r>
        <w:t xml:space="preserve"> to </w:t>
      </w:r>
      <w:r>
        <w:rPr>
          <w:rFonts w:ascii="Courier New" w:hAnsi="Courier New"/>
        </w:rPr>
        <w:t>"auto"</w:t>
      </w:r>
      <w:r>
        <w:t xml:space="preserve"> and 5 is the field's default (main.py:359, 439–440). So the default synthesis run silently assumes the least severe conflict archetype while displaying a label that implies detection: on the Mariupol inputs above, casualties drop from 61,714 to 19,938 purely from that default. </w:t>
      </w:r>
      <w:r>
        <w:rPr>
          <w:i/>
        </w:rPr>
        <w:t>Fix:</w:t>
      </w:r>
      <w:r>
        <w:t xml:space="preserve"> remove the "auto" affordance until something actually infers the type, or infer it from the INFORM drivers already loaded, and in every case display which archetype was applied.</w:t>
      </w:r>
    </w:p>
    <w:p>
      <w:pPr>
        <w:pStyle w:val="ListNumber"/>
      </w:pPr>
      <w:r>
        <w:rPr>
          <w:b/>
        </w:rPr>
        <w:t>Two disjoint historical-case datasets, and the docs describe only one of them.</w:t>
      </w:r>
      <w:r>
        <w:t xml:space="preserve"> The Assess tab carries 21 anchor cases plus 26 comparator cases = 47, encoded as five-variable vectors. The API serves a </w:t>
      </w:r>
      <w:r>
        <w:rPr>
          <w:i/>
        </w:rPr>
        <w:t>different</w:t>
      </w:r>
      <w:r>
        <w:t xml:space="preserve"> 15-case dataset (</w:t>
      </w:r>
      <w:r>
        <w:rPr>
          <w:rFonts w:ascii="Courier New" w:hAnsi="Courier New"/>
        </w:rPr>
        <w:t>historical_data.py</w:t>
      </w:r>
      <w:r>
        <w:t xml:space="preserve">), encoded by </w:t>
      </w:r>
      <w:r>
        <w:rPr>
          <w:rFonts w:ascii="Courier New" w:hAnsi="Courier New"/>
        </w:rPr>
        <w:t>ercf_level</w:t>
      </w:r>
      <w:r>
        <w:t xml:space="preserve"> and population, and it is this 15-case set that supplies the Brief's "analogues" (main.py:463–467). The README advertises "47 historical cases" for the Risk Assessment tab; nothing tells a reader that the analogues on the final screen come from a smaller, differently-encoded collection. </w:t>
      </w:r>
      <w:r>
        <w:rPr>
          <w:i/>
        </w:rPr>
        <w:t>Fix:</w:t>
      </w:r>
      <w:r>
        <w:t xml:space="preserve"> merge into one dataset with one encoding, or document the split explicitly and label each surface with which set it draws from.</w:t>
      </w:r>
    </w:p>
    <w:p>
      <w:pPr>
        <w:pStyle w:val="Heading2"/>
      </w:pPr>
      <w:r>
        <w:t>Minor issues</w:t>
      </w:r>
    </w:p>
    <w:p>
      <w:pPr>
        <w:pStyle w:val="ListNumber"/>
      </w:pPr>
      <w:r>
        <w:rPr>
          <w:b/>
        </w:rPr>
        <w:t>Fractional security personnel.</w:t>
      </w:r>
      <w:r>
        <w:t xml:space="preserve"> </w:t>
      </w:r>
      <w:r>
        <w:rPr>
          <w:rFonts w:ascii="Courier New" w:hAnsi="Courier New"/>
        </w:rPr>
        <w:t>security = ceil(population / 250.0) * (1 + 0.5 * (risk_level &gt;= 3))</w:t>
      </w:r>
      <w:r>
        <w:t xml:space="preserve"> (calculators.py:88) multiplies an integer by 1.5 in Python, producing outputs like 7.5 guards. Wrap the whole expression in </w:t>
      </w:r>
      <w:r>
        <w:rPr>
          <w:rFonts w:ascii="Courier New" w:hAnsi="Courier New"/>
        </w:rPr>
        <w:t>ceil</w:t>
      </w:r>
      <w:r>
        <w:t>.</w:t>
      </w:r>
    </w:p>
    <w:p>
      <w:pPr>
        <w:pStyle w:val="ListNumber"/>
      </w:pPr>
      <w:r>
        <w:rPr>
          <w:b/>
        </w:rPr>
        <w:t>Two unconnected transport cost models.</w:t>
      </w:r>
      <w:r>
        <w:t xml:space="preserve"> </w:t>
      </w:r>
      <w:r>
        <w:rPr>
          <w:rFonts w:ascii="Courier New" w:hAnsi="Courier New"/>
        </w:rPr>
        <w:t>calculate_resources</w:t>
      </w:r>
      <w:r>
        <w:t xml:space="preserve"> derives buses and diesel litres; </w:t>
      </w:r>
      <w:r>
        <w:rPr>
          <w:rFonts w:ascii="Courier New" w:hAnsi="Courier New"/>
        </w:rPr>
        <w:t>calculate_remaining_costs</w:t>
      </w:r>
      <w:r>
        <w:t xml:space="preserve"> prices movement from flat distance bands (calculators.py:182–188) that ignore both. The two can disagree by a wide margin on the same scenario, and nothing reconciles them.</w:t>
      </w:r>
    </w:p>
    <w:p>
      <w:pPr>
        <w:pStyle w:val="ListNumber"/>
      </w:pPr>
      <w:r>
        <w:rPr>
          <w:b/>
        </w:rPr>
        <w:t>No unit tests, in a repository whose own `ARCHITECTURE.md` asks for them</w:t>
      </w:r>
      <w:r>
        <w:t xml:space="preserve"> ("Add unit tests for calculators.py (risk and resource logic)", §Testing &amp; validation). Six of the eight major issues above would have been caught by a dozen assertions.</w:t>
      </w:r>
    </w:p>
    <w:p>
      <w:pPr>
        <w:pStyle w:val="ListNumber"/>
      </w:pPr>
      <w:r>
        <w:rPr>
          <w:b/>
        </w:rPr>
        <w:t>No LICENSE file.</w:t>
      </w:r>
      <w:r>
        <w:t xml:space="preserve"> The repository is public and credits three upstream projects; it needs a licence before anyone can reuse it.</w:t>
      </w:r>
    </w:p>
    <w:p>
      <w:pPr>
        <w:pStyle w:val="ListNumber"/>
      </w:pPr>
      <w:r>
        <w:rPr>
          <w:b/>
        </w:rPr>
        <w:t>The Brief carries no provenance banner.</w:t>
      </w:r>
      <w:r>
        <w:t xml:space="preserve"> </w:t>
      </w:r>
      <w:r>
        <w:rPr>
          <w:rFonts w:ascii="Courier New" w:hAnsi="Courier New"/>
        </w:rPr>
        <w:t>brief.html</w:t>
      </w:r>
      <w:r>
        <w:t xml:space="preserve"> renders the verdict as a 2.1rem, colour-coded, single imperative word (EVACUATE in red, HOLD in amber) with no accompanying statement that the parameters are unvalidated and the tool is a research prototype. Every other tab caveats itself carefully; the one screen a hurried reader will screenshot does not.</w:t>
      </w:r>
    </w:p>
    <w:p>
      <w:pPr>
        <w:pStyle w:val="ListNumber"/>
      </w:pPr>
      <w:r>
        <w:rPr>
          <w:b/>
        </w:rPr>
        <w:t>`_migrate_db` and SQLite on Vercel.</w:t>
      </w:r>
      <w:r>
        <w:t xml:space="preserve"> Startup already tolerates a read-only filesystem, but the scenario endpoints will fail at call time on the deployed build with a raw exception. Return a clear "persistence unavailable in this deployment" message instead.</w:t>
      </w:r>
    </w:p>
    <w:p>
      <w:pPr>
        <w:pStyle w:val="Heading2"/>
      </w:pPr>
      <w:r>
        <w:t>What's missing</w:t>
      </w:r>
    </w:p>
    <w:p>
      <w:pPr>
        <w:pStyle w:val="ListBullet"/>
      </w:pPr>
      <w:r>
        <w:rPr>
          <w:b/>
        </w:rPr>
        <w:t>A worked end-to-end example, committed to the repository.</w:t>
      </w:r>
      <w:r>
        <w:t xml:space="preserve"> One named crisis carried through all six tabs with real numbers — INFORM level, dimension vector, ERCF score, both CERAI readings, resources, both cost figures, the verdict, and the analogues returned — as a markdown file. It is the fastest way to expose the arithmetic problems above, and the fastest way for a reader to understand what the platform actually does.</w:t>
      </w:r>
    </w:p>
    <w:p>
      <w:pPr>
        <w:pStyle w:val="ListBullet"/>
      </w:pPr>
      <w:r>
        <w:rPr>
          <w:b/>
        </w:rPr>
        <w:t>Sourcing for the money.</w:t>
      </w:r>
      <w:r>
        <w:t xml:space="preserve"> </w:t>
      </w:r>
      <w:r>
        <w:rPr>
          <w:rFonts w:ascii="Courier New" w:hAnsi="Courier New"/>
        </w:rPr>
        <w:t>_STAYING_BASE_USD = 12.0</w:t>
      </w:r>
      <w:r>
        <w:t>, the shelter figure of $8.50/person/day, the $35 vulnerable uplift, and the five distance bands are all uncited. At least one should be traceable to a published appeal or OCHA/UNHCR budget line; the rest should be marked as indicative in the UI, not only in a docstring.</w:t>
      </w:r>
    </w:p>
    <w:p>
      <w:pPr>
        <w:pStyle w:val="ListBullet"/>
      </w:pPr>
      <w:r>
        <w:rPr>
          <w:b/>
        </w:rPr>
        <w:t>A sensitivity analysis.</w:t>
      </w:r>
      <w:r>
        <w:t xml:space="preserve"> The seven ERCF weights, the four level thresholds, the 0.06 confinement step, the 0.9 casualty escalation coefficient — a reader cannot currently tell which of these the verdict actually turns on. One page showing how the verdict flips as each is perturbed would be worth more than any additional feature.</w:t>
      </w:r>
    </w:p>
    <w:p>
      <w:pPr>
        <w:pStyle w:val="ListBullet"/>
      </w:pPr>
      <w:r>
        <w:rPr>
          <w:b/>
        </w:rPr>
        <w:t>A misuse section.</w:t>
      </w:r>
      <w:r>
        <w:t xml:space="preserve"> The platform outputs an imperative verb about moving civilians during armed conflict. One paragraph on how a HOLD verdict could be cited to justify denying evacuation, and how an EVACUATE verdict could be cited to justify a transfer that is unlawful under GC IV Art. 49, is warranted — the CERAI tab already has the legal apparatus to write it.</w:t>
      </w:r>
    </w:p>
    <w:p>
      <w:pPr>
        <w:pStyle w:val="ListBullet"/>
      </w:pPr>
      <w:r>
        <w:rPr>
          <w:b/>
        </w:rPr>
        <w:t>Attribution for two of the five embedded tools.</w:t>
      </w:r>
      <w:r>
        <w:t xml:space="preserve"> The README credits EII, ERCF and CERAI. Tabs 04 (Routes) and 05 (Behavior) embed the routing simulator and the household behavioural model — separate CoLab projects with their own authors — and neither the README nor the Credits section names them.</w:t>
      </w:r>
    </w:p>
    <w:p>
      <w:pPr>
        <w:pStyle w:val="Heading2"/>
      </w:pPr>
      <w:r>
        <w:t>Internal inconsistencies</w:t>
      </w:r>
    </w:p>
    <w:p>
      <w:pPr>
        <w:pStyle w:val="ListNumber"/>
      </w:pPr>
      <w:r>
        <w:rPr>
          <w:b/>
        </w:rPr>
        <w:t>"IHL obligations exist independently of cost" versus a verdict decided by cost.</w:t>
      </w:r>
      <w:r>
        <w:t xml:space="preserve"> risk_assessment.html:1059 and 1109 argue that feasibility and finance constrain the modality of evacuation but never the obligation, and that high-danger/low-feasibility "does not extinguish the obligation; it intensifies the urgency of political engagement." </w:t>
      </w:r>
      <w:r>
        <w:rPr>
          <w:rFonts w:ascii="Courier New" w:hAnsi="Courier New"/>
        </w:rPr>
        <w:t>_recommend</w:t>
      </w:r>
      <w:r>
        <w:t xml:space="preserve"> (main.py:397–403) returns HOLD when </w:t>
      </w:r>
      <w:r>
        <w:rPr>
          <w:rFonts w:ascii="Courier New" w:hAnsi="Courier New"/>
        </w:rPr>
        <w:t>delta &lt;= 0</w:t>
      </w:r>
      <w:r>
        <w:t xml:space="preserve"> — that is, when evacuating is more expensive. The HOLD rationale for the </w:t>
      </w:r>
      <w:r>
        <w:rPr>
          <w:i/>
        </w:rPr>
        <w:t>feasibility</w:t>
      </w:r>
      <w:r>
        <w:t xml:space="preserve"> branch ("Negotiate access before launch") is faithful to the doctrine; the cost branch is its inversion. Reconcile them, in the code rather than in the prose.</w:t>
      </w:r>
    </w:p>
    <w:p>
      <w:pPr>
        <w:pStyle w:val="ListNumber"/>
      </w:pPr>
      <w:r>
        <w:rPr>
          <w:b/>
        </w:rPr>
        <w:t>Three tools or five?</w:t>
      </w:r>
      <w:r>
        <w:t xml:space="preserve"> The README opens "A single FastAPI application unifying </w:t>
      </w:r>
      <w:r>
        <w:rPr>
          <w:b/>
        </w:rPr>
        <w:t>three</w:t>
      </w:r>
      <w:r>
        <w:t xml:space="preserve"> civilian-evacuation risk tools" with a three-row table, and the website blurb repeats "Three civilian-evacuation risk tools." </w:t>
      </w:r>
      <w:r>
        <w:rPr>
          <w:rFonts w:ascii="Courier New" w:hAnsi="Courier New"/>
        </w:rPr>
        <w:t>static/index.html:71–97</w:t>
      </w:r>
      <w:r>
        <w:t xml:space="preserve"> ships </w:t>
      </w:r>
      <w:r>
        <w:rPr>
          <w:b/>
        </w:rPr>
        <w:t>six</w:t>
      </w:r>
      <w:r>
        <w:t xml:space="preserve"> tabs over five distinct tools plus the Brief. The documentation is a build behind the product.</w:t>
      </w:r>
    </w:p>
    <w:p>
      <w:pPr>
        <w:pStyle w:val="ListNumber"/>
      </w:pPr>
      <w:r>
        <w:rPr>
          <w:b/>
        </w:rPr>
        <w:t>What ERCF stands for.</w:t>
      </w:r>
      <w:r>
        <w:t xml:space="preserve"> README and ARCHITECTURE.md both expand it as "Evacuation Risk </w:t>
      </w:r>
      <w:r>
        <w:rPr>
          <w:i/>
        </w:rPr>
        <w:t>Classification</w:t>
      </w:r>
      <w:r>
        <w:t xml:space="preserve"> Framework"; the CoLab website and the ERCF project itself use "Evacuation Risk </w:t>
      </w:r>
      <w:r>
        <w:rPr>
          <w:i/>
        </w:rPr>
        <w:t>&amp; Cost</w:t>
      </w:r>
      <w:r>
        <w:t xml:space="preserve"> Framework." Pick one.</w:t>
      </w:r>
    </w:p>
    <w:p>
      <w:pPr>
        <w:pStyle w:val="ListNumber"/>
      </w:pPr>
      <w:r>
        <w:rPr>
          <w:b/>
        </w:rPr>
        <w:t>`ARCHITECTURE.md` describes a different application.</w:t>
      </w:r>
      <w:r>
        <w:t xml:space="preserve"> It is titled "ERCF — Evacuation Risk Classification Framework," is stamped "Generated: June 2026," describes the frontend as "static/ (index.html, app.js, topojson assets)" — </w:t>
      </w:r>
      <w:r>
        <w:rPr>
          <w:rFonts w:ascii="Courier New" w:hAnsi="Courier New"/>
        </w:rPr>
        <w:t>app.js</w:t>
      </w:r>
      <w:r>
        <w:t xml:space="preserve"> does not exist — and never mentions Exodus, the tab shell, CERAI, EII, </w:t>
      </w:r>
      <w:r>
        <w:rPr>
          <w:rFonts w:ascii="Courier New" w:hAnsi="Courier New"/>
        </w:rPr>
        <w:t>live_data.py</w:t>
      </w:r>
      <w:r>
        <w:t xml:space="preserve">, </w:t>
      </w:r>
      <w:r>
        <w:rPr>
          <w:rFonts w:ascii="Courier New" w:hAnsi="Courier New"/>
        </w:rPr>
        <w:t>api/index.py</w:t>
      </w:r>
      <w:r>
        <w:t xml:space="preserve">, the Vercel deployment, or </w:t>
      </w:r>
      <w:r>
        <w:rPr>
          <w:rFonts w:ascii="Courier New" w:hAnsi="Courier New"/>
        </w:rPr>
        <w:t>/api/synthesis</w:t>
      </w:r>
      <w:r>
        <w:t>, the single most important endpoint in the system. It is the pre-merge ERCF document carried over unedited. Either rewrite it for Exodus or delete it; a stale architecture document is worse than none.</w:t>
      </w:r>
    </w:p>
    <w:p>
      <w:pPr>
        <w:pStyle w:val="ListNumber"/>
      </w:pPr>
      <w:r>
        <w:rPr>
          <w:b/>
        </w:rPr>
        <w:t>47 cases advertised, 15 served.</w:t>
      </w:r>
      <w:r>
        <w:t xml:space="preserve"> README's Risk Assessment row promises "47 historical cases"; </w:t>
      </w:r>
      <w:r>
        <w:rPr>
          <w:rFonts w:ascii="Courier New" w:hAnsi="Courier New"/>
        </w:rPr>
        <w:t>/api/historical-cases</w:t>
      </w:r>
      <w:r>
        <w:t xml:space="preserve"> returns 15, and those 15 are what the Brief uses. (See Major issue 8.)</w:t>
      </w:r>
    </w:p>
    <w:p>
      <w:pPr>
        <w:pStyle w:val="ListNumber"/>
      </w:pPr>
      <w:r>
        <w:rPr>
          <w:b/>
        </w:rPr>
        <w:t>Credits point away from the canonical repositories.</w:t>
      </w:r>
      <w:r>
        <w:t xml:space="preserve"> The README credits EII to </w:t>
      </w:r>
      <w:r>
        <w:rPr>
          <w:rFonts w:ascii="Courier New" w:hAnsi="Courier New"/>
        </w:rPr>
        <w:t>Ethical-Tech-CoLab/evacmodel</w:t>
      </w:r>
      <w:r>
        <w:t xml:space="preserve"> (the CoLab's EII lives at </w:t>
      </w:r>
      <w:r>
        <w:rPr>
          <w:rFonts w:ascii="Courier New" w:hAnsi="Courier New"/>
        </w:rPr>
        <w:t>evacuation-inform-index-carolina</w:t>
      </w:r>
      <w:r>
        <w:t xml:space="preserve">), ERCF to </w:t>
      </w:r>
      <w:r>
        <w:rPr>
          <w:rFonts w:ascii="Courier New" w:hAnsi="Courier New"/>
        </w:rPr>
        <w:t>yagorocha-web/ercf</w:t>
      </w:r>
      <w:r>
        <w:t xml:space="preserve"> and CERAI to </w:t>
      </w:r>
      <w:r>
        <w:rPr>
          <w:rFonts w:ascii="Courier New" w:hAnsi="Courier New"/>
        </w:rPr>
        <w:t>alanarobertson/evac-ai-project-2-</w:t>
      </w:r>
      <w:r>
        <w:t xml:space="preserve">, while the org hosts canonical </w:t>
      </w:r>
      <w:r>
        <w:rPr>
          <w:rFonts w:ascii="Courier New" w:hAnsi="Courier New"/>
        </w:rPr>
        <w:t>ercf</w:t>
      </w:r>
      <w:r>
        <w:t xml:space="preserve"> and </w:t>
      </w:r>
      <w:r>
        <w:rPr>
          <w:rFonts w:ascii="Courier New" w:hAnsi="Courier New"/>
        </w:rPr>
        <w:t>CERAI_AR</w:t>
      </w:r>
      <w:r>
        <w:t xml:space="preserve"> repositories. Point at the canonical repos and name the authors.</w:t>
      </w:r>
    </w:p>
    <w:p>
      <w:pPr>
        <w:pStyle w:val="Heading2"/>
      </w:pPr>
      <w:r>
        <w:t>Prioritized next steps</w:t>
      </w:r>
    </w:p>
    <w:p>
      <w:r>
        <w:t>If there is time for only three things:</w:t>
      </w:r>
    </w:p>
    <w:p>
      <w:pPr>
        <w:pStyle w:val="ListNumber"/>
      </w:pPr>
      <w:r>
        <w:rPr>
          <w:b/>
        </w:rPr>
        <w:t>Fix the verdict logic</w:t>
      </w:r>
      <w:r>
        <w:t xml:space="preserve"> (Major issues 2 and 3): stop letting a dollar comparison decide, and make the staying/evacuating populations a genuine partition. This is a handful of lines and it is the difference between a tool that reasons the way the CoLab argues it should and one that does the opposite on its final screen.</w:t>
      </w:r>
    </w:p>
    <w:p>
      <w:pPr>
        <w:pStyle w:val="ListNumber"/>
      </w:pPr>
      <w:r>
        <w:rPr>
          <w:b/>
        </w:rPr>
        <w:t>Re-anchor or retire the casualty rate</w:t>
      </w:r>
      <w:r>
        <w:t xml:space="preserve"> (Major issue 1), and add the Mariupol regression test. A number that says 41% of a besieged city dies in 86 days will discredit the whole platform with the first informed reader who tries it.</w:t>
      </w:r>
    </w:p>
    <w:p>
      <w:pPr>
        <w:pStyle w:val="ListNumber"/>
      </w:pPr>
      <w:r>
        <w:rPr>
          <w:b/>
        </w:rPr>
        <w:t>Rewrite `README.md` and `ARCHITECTURE.md` against the build that actually ships</w:t>
      </w:r>
      <w:r>
        <w:t xml:space="preserve"> (inconsistencies 2–6), including the two missing attributions and the 47-versus-15 case count. Cheapest fix on the list, and it removes five of the six documented contradictions.</w:t>
      </w:r>
    </w:p>
    <w:p>
      <w:r>
        <w:t>Then, in a second pass: rescale the server-side CERAI to a true 0–100 (Major issue 5), rename or reconnect it (Major issue 4), fix the NATO label (Major issue 6), remove the fake "auto" (Major issue 7), and add the licence and the unit tests.</w:t>
      </w:r>
    </w:p>
    <w:p>
      <w:pPr>
        <w:pStyle w:val="Heading2"/>
      </w:pPr>
      <w:r>
        <w:t>What to take forward</w:t>
      </w:r>
    </w:p>
    <w:p>
      <w:pPr>
        <w:pStyle w:val="ListBullet"/>
      </w:pPr>
      <w:r>
        <w:rPr>
          <w:b/>
        </w:rPr>
        <w:t>When you merge instruments, merge their arguments too.</w:t>
      </w:r>
      <w:r>
        <w:t xml:space="preserve"> The hardest part of an integration is not the API surface; it is that each component came with a stance, and the composite has to have one. Exodus inherited CERAI's careful refusal to let cost speak to obligation, and then built a final screen that lets cost decide. Whenever you unify tools, write down each one's non-negotiable commitment first, and check the composite against that list.</w:t>
      </w:r>
    </w:p>
    <w:p>
      <w:pPr>
        <w:pStyle w:val="ListBullet"/>
      </w:pPr>
      <w:r>
        <w:rPr>
          <w:b/>
        </w:rPr>
        <w:t>A number that leaves the model becomes a claim.</w:t>
      </w:r>
      <w:r>
        <w:t xml:space="preserve"> </w:t>
      </w:r>
      <w:r>
        <w:rPr>
          <w:rFonts w:ascii="Courier New" w:hAnsi="Courier New"/>
        </w:rPr>
        <w:t>expected_casualties</w:t>
      </w:r>
      <w:r>
        <w:t xml:space="preserve"> was plainly a rough internal quantity; the moment it is rendered on a briefing screen as "casualties prevented," it is an assertion about how many people will die, and it will be read that way. Decide at the point of display which internal quantities are load-bearing enough to publish, and caveat or hide the rest.</w:t>
      </w:r>
    </w:p>
    <w:p>
      <w:pPr>
        <w:pStyle w:val="ListBullet"/>
      </w:pPr>
      <w:r>
        <w:rPr>
          <w:b/>
        </w:rPr>
        <w:t>Borrowed authority needs a citation or it needs to go.</w:t>
      </w:r>
      <w:r>
        <w:t xml:space="preserve"> "NATO STANAG equivalent" and "SPHERE-aligned" are doing rhetorical work in this codebase. One of them (the Sphere minima) is correct and checkable; the other is not, and the reader has no way to tell them apart. Cite in the comment, next to the constant, where the next maintainer will actually see it.</w:t>
      </w:r>
    </w:p>
    <w:p>
      <w:pPr>
        <w:pStyle w:val="ListBullet"/>
      </w:pPr>
      <w:r>
        <w:rPr>
          <w:b/>
        </w:rPr>
        <w:t>Ship the test that encodes the thing you are proudest of.</w:t>
      </w:r>
      <w:r>
        <w:t xml:space="preserve"> The repository's best asset is a curated set of documented historical cases. Turning even two of them into assertions — Mariupol should score level 4 and should not predict a 41% death rate — would convert institutional memory into an automatic guard against exactly the class of error found here.</w:t>
      </w:r>
    </w:p>
    <w:p>
      <w:pPr>
        <w:pStyle w:val="Heading2"/>
      </w:pPr>
      <w:r>
        <w:t>Verdict</w:t>
      </w:r>
    </w:p>
    <w:p>
      <w:r>
        <w:rPr>
          <w:b/>
        </w:rPr>
        <w:t>Major revisions.</w:t>
      </w:r>
      <w:r>
        <w:t xml:space="preserve"> The integration is real work and the platform is the most ambitious artefact in the CoLab portfolio; the problems are concentrated in the newest, thinnest layer — the synthesis endpoint and the Brief — rather than in the components that arrived with their own reviews. Roughly two days of work addresses everything in the prioritized list. The one thing not to do is ship the Brief tab more widely before the verdict logic is fixed: a single imperative word about moving civilians, decided by an uncited cost comparison and reported alongside a casualty figure an order of magnitude out, is the highest-risk output in anything the CoLab currently publishes.</w:t>
      </w:r>
    </w:p>
    <w:p>
      <w:pPr>
        <w:pStyle w:val="Heading2"/>
      </w:pPr>
      <w:r>
        <w:t>References</w:t>
      </w:r>
    </w:p>
    <w:p>
      <w:pPr>
        <w:pStyle w:val="ListNumber"/>
      </w:pPr>
      <w:r>
        <w:t xml:space="preserve">Office of the United Nations High Commissioner for Human Rights. </w:t>
      </w:r>
      <w:r>
        <w:rPr>
          <w:i/>
        </w:rPr>
        <w:t>High Commissioner updates the Human Rights Council on Mariupol, Ukraine.</w:t>
      </w:r>
      <w:r>
        <w:t xml:space="preserve"> 2022. https://www.ohchr.org/en/statements-and-speeches/2022/06/high-commissioner-updates-human-rights-council-mariupol-ukraine</w:t>
      </w:r>
    </w:p>
    <w:p>
      <w:pPr>
        <w:pStyle w:val="ListNumber"/>
      </w:pPr>
      <w:r>
        <w:t xml:space="preserve">Human Rights Watch. </w:t>
      </w:r>
      <w:r>
        <w:rPr>
          <w:i/>
        </w:rPr>
        <w:t>Counting the Dead: Documenting Loss in Mariupol, a Ukrainian City Besieged and Devastated.</w:t>
      </w:r>
      <w:r>
        <w:t xml:space="preserve"> 2024. https://www.hrw.org/feature/russia-ukraine-war-mariupol/counting-the-dead</w:t>
      </w:r>
    </w:p>
    <w:p>
      <w:pPr>
        <w:pStyle w:val="ListNumber"/>
      </w:pPr>
      <w:r>
        <w:t xml:space="preserve">Human Rights Watch. </w:t>
      </w:r>
      <w:r>
        <w:rPr>
          <w:i/>
        </w:rPr>
        <w:t>Ukraine: New Findings on Russia's Devastation of Mariupol.</w:t>
      </w:r>
      <w:r>
        <w:t xml:space="preserve"> 8 Feb. 2024. https://www.hrw.org/news/2024/02/08/ukraine-new-findings-russias-devastation-mariupol</w:t>
      </w:r>
    </w:p>
    <w:p>
      <w:pPr>
        <w:pStyle w:val="ListNumber"/>
      </w:pPr>
      <w:r>
        <w:t xml:space="preserve">NATO Standardization Office. </w:t>
      </w:r>
      <w:r>
        <w:rPr>
          <w:i/>
        </w:rPr>
        <w:t>AJP-3.4.2, Allied Joint Doctrine for Non-Combatant Evacuation Operations</w:t>
      </w:r>
      <w:r>
        <w:t>, Edition A, Version 1, §0403 and §0501.</w:t>
      </w:r>
    </w:p>
    <w:p>
      <w:pPr>
        <w:pStyle w:val="ListNumber"/>
      </w:pPr>
      <w:r>
        <w:t xml:space="preserve">Sphere Association. </w:t>
      </w:r>
      <w:r>
        <w:rPr>
          <w:i/>
        </w:rPr>
        <w:t>The Sphere Handbook: Humanitarian Charter and Minimum Standards in Humanitarian Response</w:t>
      </w:r>
      <w:r>
        <w:t xml:space="preserve">, 2018 — source of the 15 L/person/day and 2,100 kcal/person/day minima used in </w:t>
      </w:r>
      <w:r>
        <w:rPr>
          <w:rFonts w:ascii="Courier New" w:hAnsi="Courier New"/>
        </w:rPr>
        <w:t>calculate_resources</w:t>
      </w:r>
      <w:r>
        <w:t>.</w:t>
      </w:r>
    </w:p>
    <w:p>
      <w:pPr>
        <w:pStyle w:val="ListNumber"/>
      </w:pPr>
      <w:r>
        <w:t>Article 49, Geneva Convention (IV) relative to the Protection of Civilian Persons in Time of War, 1949. https://ihl-databases.icrc.org/en/ihl-treaties/gciv-1949/article-49</w:t>
      </w:r>
    </w:p>
    <w:p>
      <w:r>
        <w:rPr>
          <w:b/>
        </w:rPr>
        <w:t>[Verification Required]</w:t>
      </w:r>
      <w:r>
        <w:t xml:space="preserve"> Three items the author should confirm rather than take from this review. (a) Whether any NATO STANAG does define a Routine/Standfast/Restricted/Reduce/Evacuate ladder — my check was against AJP-3.4.2's text, which does not contain those terms, and I could not locate a STANAG that does. (b) The provenance of </w:t>
      </w:r>
      <w:r>
        <w:rPr>
          <w:rFonts w:ascii="Courier New" w:hAnsi="Courier New"/>
        </w:rPr>
        <w:t>_STAYING_BASE_USD = 12.0</w:t>
      </w:r>
      <w:r>
        <w:t xml:space="preserve"> and the $8.50/person/day shelter figure — if these came from an OCHA or UNHCR appeal, the citation exists and should be recorded. (c) Whether the deployed Vercel build serves the same six-tab shell as </w:t>
      </w:r>
      <w:r>
        <w:rPr>
          <w:rFonts w:ascii="Courier New" w:hAnsi="Courier New"/>
        </w:rPr>
        <w:t>main</w:t>
      </w:r>
      <w:r>
        <w:t xml:space="preserve"> — the reviewed artefact is the repository at commit time, and </w:t>
      </w:r>
      <w:r>
        <w:rPr>
          <w:rFonts w:ascii="Courier New" w:hAnsi="Courier New"/>
        </w:rPr>
        <w:t>api/index.py</w:t>
      </w:r>
      <w:r>
        <w:t xml:space="preserve"> plus </w:t>
      </w:r>
      <w:r>
        <w:rPr>
          <w:rFonts w:ascii="Courier New" w:hAnsi="Courier New"/>
        </w:rPr>
        <w:t>vercel.json</w:t>
      </w:r>
      <w:r>
        <w:t xml:space="preserve"> were read but not exercised against the live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