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Peer Review — VANGO: The Art Passport. A Research Report on a Digital Passport for Recording Visits to Works of Art</w:t>
      </w:r>
    </w:p>
    <w:p>
      <w:r>
        <w:rPr>
          <w:b/>
        </w:rPr>
        <w:t>Reviewer role:</w:t>
      </w:r>
      <w:r>
        <w:t xml:space="preserve"> Peer reviewer, acting as a referee for a masters-level research report submitted under the Ethical Tech CoLab. I am assuming the bar of a design/systems-research venue (an HCI or digital-heritage workshop) that accepts prototype-and-argument papers but expects an explicit research question, honest positioning against prior work, and a conclusion that does not exceed the evidence.</w:t>
      </w:r>
    </w:p>
    <w:p>
      <w:r>
        <w:rPr>
          <w:b/>
        </w:rPr>
        <w:t>Recommendation:</w:t>
      </w:r>
      <w:r>
        <w:t xml:space="preserve"> Major revisions</w:t>
      </w:r>
    </w:p>
    <w:p>
      <w:r>
        <w:rPr>
          <w:b/>
        </w:rPr>
        <w:t>Date:</w:t>
      </w:r>
      <w:r>
        <w:t xml:space="preserve"> 22 July 2026</w:t>
      </w:r>
    </w:p>
    <w:p>
      <w:pPr>
        <w:pStyle w:val="Heading2"/>
      </w:pPr>
      <w:r>
        <w:t>Summary of the submission</w:t>
      </w:r>
    </w:p>
    <w:p>
      <w:r>
        <w:t>VANGO is a browser-based "digital passport" for art. A visitor standing before a</w:t>
      </w:r>
    </w:p>
    <w:p>
      <w:r>
        <w:t>participating work scans a QR code (or types a short code, or follows a link),</w:t>
      </w:r>
    </w:p>
    <w:p>
      <w:r>
        <w:t>and the application adds a dated, illustrated "stamp" to a personal passport book</w:t>
      </w:r>
    </w:p>
    <w:p>
      <w:r>
        <w:t>carried on the phone. The report (§1–§13) documents the prototype in deliberately</w:t>
      </w:r>
    </w:p>
    <w:p>
      <w:r>
        <w:t>non-technical prose: what it stores, why each stored value was chosen, and what</w:t>
      </w:r>
    </w:p>
    <w:p>
      <w:r>
        <w:t>the tool refuses to do.</w:t>
      </w:r>
    </w:p>
    <w:p>
      <w:r>
        <w:t>The submission's real contribution is not the software but an *argument about</w:t>
      </w:r>
    </w:p>
    <w:p>
      <w:r>
        <w:t>design restraint*, and it is worth stating generously. The report proposes that a</w:t>
      </w:r>
    </w:p>
    <w:p>
      <w:r>
        <w:t>record of attendance — "who went to see what, and when" (§1.2) — is a form of</w:t>
      </w:r>
    </w:p>
    <w:p>
      <w:r>
        <w:t>value in itself (§12.3), and that this value can be delivered at the cost of a</w:t>
      </w:r>
    </w:p>
    <w:p>
      <w:r>
        <w:t>printed page (§3.2) and with zero personal-data collection in guest mode (§3.3,</w:t>
      </w:r>
    </w:p>
    <w:p>
      <w:r>
        <w:t>§7.1). Several design decisions are argued with unusual care: the stamp's colour</w:t>
      </w:r>
    </w:p>
    <w:p>
      <w:r>
        <w:t>and fallback illustration are derived deterministically from the stamp's own</w:t>
      </w:r>
    </w:p>
    <w:p>
      <w:r>
        <w:t>identifier so the same work "wears the same colours in every passport in the</w:t>
      </w:r>
    </w:p>
    <w:p>
      <w:r>
        <w:t>world" (§5.5, §13.2); the tool declines to gamify (§6.1); the interface ships in</w:t>
      </w:r>
    </w:p>
    <w:p>
      <w:r>
        <w:t>four languages including Hausa (§8); and §9 pauses to consider the cultural-property</w:t>
      </w:r>
    </w:p>
    <w:p>
      <w:r>
        <w:t>implications of stamping a looted-class object. The report is also strikingly</w:t>
      </w:r>
    </w:p>
    <w:p>
      <w:r>
        <w:t>candid about its own defects (§10), including a placeholder passport number</w:t>
      </w:r>
    </w:p>
    <w:p>
      <w:r>
        <w:t>(§5.8) and the fact that the public demonstration cannot sign anyone in (§7.4).</w:t>
      </w:r>
    </w:p>
    <w:p>
      <w:r>
        <w:t>As a piece of design documentation this is well above average. My reservations are</w:t>
      </w:r>
    </w:p>
    <w:p>
      <w:r>
        <w:t xml:space="preserve">about whether it yet functions as a </w:t>
      </w:r>
      <w:r>
        <w:rPr>
          <w:i/>
        </w:rPr>
        <w:t>research</w:t>
      </w:r>
      <w:r>
        <w:t xml:space="preserve"> paper, and about one ethical thread</w:t>
      </w:r>
    </w:p>
    <w:p>
      <w:r>
        <w:t>it raises but does not resolve.</w:t>
      </w:r>
    </w:p>
    <w:p>
      <w:pPr>
        <w:pStyle w:val="Heading2"/>
      </w:pPr>
      <w:r>
        <w:t>Major issues</w:t>
      </w:r>
    </w:p>
    <w:p>
      <w:r>
        <w:rPr>
          <w:b/>
        </w:rPr>
        <w:t>1. The conclusion asserts a finding the paper never tests.</w:t>
      </w:r>
    </w:p>
    <w:p>
      <w:r>
        <w:rPr>
          <w:i/>
        </w:rPr>
        <w:t>Location: §13.1 versus §1.7, §7.1, §10.5.</w:t>
      </w:r>
      <w:r>
        <w:t xml:space="preserve"> The Conclusion states that VANGO "asks</w:t>
      </w:r>
    </w:p>
    <w:p>
      <w:r>
        <w:t>whether [the national-park passport idea] works for individual works of art. The</w:t>
      </w:r>
    </w:p>
    <w:p>
      <w:r>
        <w:t>answer the prototype gives is a qualified yes" (§13.1). But the report also states,</w:t>
      </w:r>
    </w:p>
    <w:p>
      <w:r>
        <w:t>in three places, that VANGO "has not been tested with real museum visitors" (§1.7),</w:t>
      </w:r>
    </w:p>
    <w:p>
      <w:r>
        <w:t>that guest mode is the "whole application, working" only in a demonstration sense</w:t>
      </w:r>
    </w:p>
    <w:p>
      <w:r>
        <w:t>(§7.1), and that it has "never been placed in a real exhibition or tested with real</w:t>
      </w:r>
    </w:p>
    <w:p>
      <w:r>
        <w:t>visitors" (§10.5). A prototype that has never met a user cannot return an answer,</w:t>
      </w:r>
    </w:p>
    <w:p>
      <w:r>
        <w:t>qualified or otherwise, to whether the idea "works." The load-bearing claim of the</w:t>
      </w:r>
    </w:p>
    <w:p>
      <w:r>
        <w:t>paper — that an attendance record is "a form of value in itself" (§12.3) — is</w:t>
      </w:r>
    </w:p>
    <w:p>
      <w:r>
        <w:t xml:space="preserve">asserted, never evidenced. </w:t>
      </w:r>
      <w:r>
        <w:rPr>
          <w:i/>
        </w:rPr>
        <w:t>Why it matters:</w:t>
      </w:r>
      <w:r>
        <w:t xml:space="preserve"> this is the gap between what was built</w:t>
      </w:r>
    </w:p>
    <w:p>
      <w:r>
        <w:t>and what is concluded, and a referee will read the mismatch as over-claiming. *Path</w:t>
      </w:r>
    </w:p>
    <w:p>
      <w:r>
        <w:t>forward:* choose one of two honest framings. Either (a) reframe the paper as a</w:t>
      </w:r>
    </w:p>
    <w:p>
      <w:r>
        <w:rPr>
          <w:i/>
        </w:rPr>
        <w:t>design-rationale / systems-description</w:t>
      </w:r>
      <w:r>
        <w:t xml:space="preserve"> paper and change §13.1 to a claim about the</w:t>
      </w:r>
    </w:p>
    <w:p>
      <w:r>
        <w:t>design ("the prototype demonstrates that the mechanism is buildable at negligible</w:t>
      </w:r>
    </w:p>
    <w:p>
      <w:r>
        <w:t>cost and without data collection") — which the paper does support — deleting</w:t>
      </w:r>
    </w:p>
    <w:p>
      <w:r>
        <w:t>"works" and "qualified yes"; or (b) keep the evaluative claim and earn it with even</w:t>
      </w:r>
    </w:p>
    <w:p>
      <w:r>
        <w:t>a small study: 8–12 users given the tool in a gallery or a walkthrough, reporting</w:t>
      </w:r>
    </w:p>
    <w:p>
      <w:r>
        <w:t>whether the stamp felt worth keeping. Option (a) is achievable now and is the</w:t>
      </w:r>
    </w:p>
    <w:p>
      <w:r>
        <w:t>stronger paper.</w:t>
      </w:r>
    </w:p>
    <w:p>
      <w:r>
        <w:rPr>
          <w:b/>
        </w:rPr>
        <w:t>2. There is essentially no positioning in the literature.</w:t>
      </w:r>
    </w:p>
    <w:p>
      <w:r>
        <w:rPr>
          <w:i/>
        </w:rPr>
        <w:t>Location: §2.2–§2.3.</w:t>
      </w:r>
      <w:r>
        <w:t xml:space="preserve"> The only prior work engaged is the US National Park Service</w:t>
      </w:r>
    </w:p>
    <w:p>
      <w:r>
        <w:t>"Passport To Your National Parks" programme (§2.2). The "gap" the paper claims —</w:t>
      </w:r>
    </w:p>
    <w:p>
      <w:r>
        <w:t>that individual artworks lack the physical stamp desk a park has (§2.3) — is</w:t>
      </w:r>
    </w:p>
    <w:p>
      <w:r>
        <w:t>asserted without reference to the substantial bodies of work that bear directly on</w:t>
      </w:r>
    </w:p>
    <w:p>
      <w:r>
        <w:t>it: museum visitor-engagement and repeat-attendance research; the gamification-of-culture</w:t>
      </w:r>
    </w:p>
    <w:p>
      <w:r>
        <w:t>literature (which the paper implicitly critiques in §6.1 but never cites); digital</w:t>
      </w:r>
    </w:p>
    <w:p>
      <w:r>
        <w:t>proof-of-attendance systems (location check-in apps such as Foursquare; the</w:t>
      </w:r>
    </w:p>
    <w:p>
      <w:r>
        <w:t>blockchain "proof of attendance protocol" / POAP, which is almost exactly VANGO's</w:t>
      </w:r>
    </w:p>
    <w:p>
      <w:r>
        <w:t>mechanism minus the ledger); and digital-badge / collectible-souvenir scholarship.</w:t>
      </w:r>
    </w:p>
    <w:p>
      <w:r>
        <w:rPr>
          <w:i/>
        </w:rPr>
        <w:t>Why it matters:</w:t>
      </w:r>
      <w:r>
        <w:t xml:space="preserve"> without this, the reader cannot tell whether VANGO's framing is</w:t>
      </w:r>
    </w:p>
    <w:p>
      <w:r>
        <w:t>novel or is re-deriving known ideas, and the "gap" reads as manufactured by not</w:t>
      </w:r>
    </w:p>
    <w:p>
      <w:r>
        <w:t>looking. For an Ethical Tech CoLab research output this is the single biggest thing</w:t>
      </w:r>
    </w:p>
    <w:p>
      <w:r>
        <w:t xml:space="preserve">separating a report from a paper. </w:t>
      </w:r>
      <w:r>
        <w:rPr>
          <w:i/>
        </w:rPr>
        <w:t>Path forward:</w:t>
      </w:r>
      <w:r>
        <w:t xml:space="preserve"> add a Related Work section (can be</w:t>
      </w:r>
    </w:p>
    <w:p>
      <w:r>
        <w:t>two pages) that contrasts VANGO against at least these four neighbours, and use it to</w:t>
      </w:r>
    </w:p>
    <w:p>
      <w:r>
        <w:t>sharpen the actual novelty claim — which I take to be *deterministic, privacy-preserving,</w:t>
      </w:r>
    </w:p>
    <w:p>
      <w:r>
        <w:t>zero-cost attendance records without a ledger or an account*. That is a defensible,</w:t>
      </w:r>
    </w:p>
    <w:p>
      <w:r>
        <w:t>narrow contribution; name it explicitly.</w:t>
      </w:r>
    </w:p>
    <w:p>
      <w:r>
        <w:rPr>
          <w:b/>
        </w:rPr>
        <w:t>3. The Bura ceramics entry is an unresolved ethical problem, not a neutral illustration.</w:t>
      </w:r>
    </w:p>
    <w:p>
      <w:r>
        <w:rPr>
          <w:i/>
        </w:rPr>
        <w:t>Location: §5.11, §9.1, §9.4–§9.5.</w:t>
      </w:r>
      <w:r>
        <w:t xml:space="preserve"> The demonstration catalogue seeds a real</w:t>
      </w:r>
    </w:p>
    <w:p>
      <w:r>
        <w:t>looted-class object — Bura ceramics, which appear on the ICOM Red List (§9.2) — as</w:t>
      </w:r>
    </w:p>
    <w:p>
      <w:r>
        <w:t>sample data, attributed to a venue rendered only as the unexpanded initials "AABC"</w:t>
      </w:r>
    </w:p>
    <w:p>
      <w:r>
        <w:t>that "the repository does not expand" (§9.1). The report then says the tool "is</w:t>
      </w:r>
    </w:p>
    <w:p>
      <w:r>
        <w:t>silent on whether the object should be there" (§9.4) and adds "This is not a</w:t>
      </w:r>
    </w:p>
    <w:p>
      <w:r>
        <w:t xml:space="preserve">criticism of the design" (§9.5). For a paper produced under an </w:t>
      </w:r>
      <w:r>
        <w:rPr>
          <w:i/>
        </w:rPr>
        <w:t>ethical</w:t>
      </w:r>
      <w:r>
        <w:t xml:space="preserve"> technology</w:t>
      </w:r>
    </w:p>
    <w:p>
      <w:r>
        <w:t>lab, this deserves harder self-scrutiny than a disclaimer. The prototype has chosen</w:t>
      </w:r>
    </w:p>
    <w:p>
      <w:r>
        <w:t>to put an at-risk cultural object, tied to an unidentifiable venue, into the one</w:t>
      </w:r>
    </w:p>
    <w:p>
      <w:r>
        <w:t>part of the app a first-time guest is guaranteed to see (§5.11 pre-seeds three</w:t>
      </w:r>
    </w:p>
    <w:p>
      <w:r>
        <w:t xml:space="preserve">stamps; the David and Bura are the two real works in the seven). </w:t>
      </w:r>
      <w:r>
        <w:rPr>
          <w:i/>
        </w:rPr>
        <w:t>Why it matters:</w:t>
      </w:r>
    </w:p>
    <w:p>
      <w:r>
        <w:t>the paper's own §9.5 correctly notes that "a document styled as a passport carries</w:t>
      </w:r>
    </w:p>
    <w:p>
      <w:r>
        <w:t>an implication of officialdom that the underlying record does not support" — and</w:t>
      </w:r>
    </w:p>
    <w:p>
      <w:r>
        <w:t xml:space="preserve">then illustrates exactly that failure with a Red List object. </w:t>
      </w:r>
      <w:r>
        <w:rPr>
          <w:i/>
        </w:rPr>
        <w:t>Path forward:</w:t>
      </w:r>
    </w:p>
    <w:p>
      <w:r>
        <w:t xml:space="preserve">(i) explain in the text </w:t>
      </w:r>
      <w:r>
        <w:rPr>
          <w:i/>
        </w:rPr>
        <w:t>why</w:t>
      </w:r>
      <w:r>
        <w:t xml:space="preserve"> Bura was included and what AABC is, or remove the real</w:t>
      </w:r>
    </w:p>
    <w:p>
      <w:r>
        <w:t>contested object from demonstration data; (ii) promote the §9.5 suggestion (carry</w:t>
      </w:r>
    </w:p>
    <w:p>
      <w:r>
        <w:t>collection history / a link to the holding institution on the stamp page) from</w:t>
      </w:r>
    </w:p>
    <w:p>
      <w:r>
        <w:t>"a future version would do well" to an actual, if minimal, design element, since it</w:t>
      </w:r>
    </w:p>
    <w:p>
      <w:r>
        <w:t>is the paper's own remedy for its own diagnosed problem; (iii) reconsider whether</w:t>
      </w:r>
    </w:p>
    <w:p>
      <w:r>
        <w:t>"not a criticism of the design" is the right posture given (i).</w:t>
      </w:r>
    </w:p>
    <w:p>
      <w:r>
        <w:rPr>
          <w:b/>
        </w:rPr>
        <w:t>4. The paper states no research question and no method, so the contribution is under-specified.</w:t>
      </w:r>
    </w:p>
    <w:p>
      <w:r>
        <w:t>*Location: the report has no Introduction/Methods framing; §1 is an Executive</w:t>
      </w:r>
    </w:p>
    <w:p>
      <w:r>
        <w:t>Summary, §2 is Background.* The document moves from rationale (§2) directly to</w:t>
      </w:r>
    </w:p>
    <w:p>
      <w:r>
        <w:t>description (§4–§9) without ever stating the question it investigates or the way it</w:t>
      </w:r>
    </w:p>
    <w:p>
      <w:r>
        <w:t xml:space="preserve">would know an answer. The Objectives (§3) are </w:t>
      </w:r>
      <w:r>
        <w:rPr>
          <w:i/>
        </w:rPr>
        <w:t>product</w:t>
      </w:r>
      <w:r>
        <w:t xml:space="preserve"> objectives ("give a visitor</w:t>
      </w:r>
    </w:p>
    <w:p>
      <w:r>
        <w:t xml:space="preserve">a durable record"), not </w:t>
      </w:r>
      <w:r>
        <w:rPr>
          <w:i/>
        </w:rPr>
        <w:t>research</w:t>
      </w:r>
      <w:r>
        <w:t xml:space="preserve"> objectives. </w:t>
      </w:r>
      <w:r>
        <w:rPr>
          <w:i/>
        </w:rPr>
        <w:t>Why it matters:</w:t>
      </w:r>
      <w:r>
        <w:t xml:space="preserve"> a reader cannot</w:t>
      </w:r>
    </w:p>
    <w:p>
      <w:r>
        <w:t>judge success against a target that is never set, and this is what makes issue 1</w:t>
      </w:r>
    </w:p>
    <w:p>
      <w:r>
        <w:t>possible — an untested conclusion slides in because no evaluative criterion was</w:t>
      </w:r>
    </w:p>
    <w:p>
      <w:r>
        <w:t xml:space="preserve">declared up front. </w:t>
      </w:r>
      <w:r>
        <w:rPr>
          <w:i/>
        </w:rPr>
        <w:t>Path forward:</w:t>
      </w:r>
      <w:r>
        <w:t xml:space="preserve"> add a short statement of the research question</w:t>
      </w:r>
    </w:p>
    <w:p>
      <w:r>
        <w:t>("Can a low-cost, ledger-free, account-optional attendance record be designed such</w:t>
      </w:r>
    </w:p>
    <w:p>
      <w:r>
        <w:t>that its emblem is stable and shared across users, and what design tensions arise?")</w:t>
      </w:r>
    </w:p>
    <w:p>
      <w:r>
        <w:t>and a one-paragraph methods note describing this as a design-and-artefact study.</w:t>
      </w:r>
    </w:p>
    <w:p>
      <w:r>
        <w:t>This is largely reorganisation of material already present, and it resolves much of</w:t>
      </w:r>
    </w:p>
    <w:p>
      <w:r>
        <w:t>issue 1 for free.</w:t>
      </w:r>
    </w:p>
    <w:p>
      <w:pPr>
        <w:pStyle w:val="Heading2"/>
      </w:pPr>
      <w:r>
        <w:t>Minor issues</w:t>
      </w:r>
    </w:p>
    <w:p>
      <w:pPr>
        <w:pStyle w:val="ListBullet"/>
      </w:pPr>
      <w:r>
        <w:rPr>
          <w:b/>
        </w:rPr>
        <w:t>m1.</w:t>
      </w:r>
      <w:r>
        <w:t xml:space="preserve"> </w:t>
      </w:r>
      <w:r>
        <w:rPr>
          <w:i/>
        </w:rPr>
        <w:t>§5.5 and §7.2.</w:t>
      </w:r>
      <w:r>
        <w:t xml:space="preserve"> "Hashing" is used for two very different things — a</w:t>
      </w:r>
    </w:p>
    <w:p>
      <w:r>
        <w:t xml:space="preserve">  non-cryptographic palette seed (§5.5) and password protection with bcrypt (§7.2).</w:t>
      </w:r>
    </w:p>
    <w:p>
      <w:r>
        <w:t xml:space="preserve">  A lay reader may conflate them. Add one clause distinguishing the fast, reversible-in-effect</w:t>
      </w:r>
    </w:p>
    <w:p>
      <w:r>
        <w:t xml:space="preserve">  seed hash from the deliberately slow cryptographic one.</w:t>
      </w:r>
    </w:p>
    <w:p>
      <w:pPr>
        <w:pStyle w:val="ListBullet"/>
      </w:pPr>
      <w:r>
        <w:rPr>
          <w:b/>
        </w:rPr>
        <w:t>m2.</w:t>
      </w:r>
      <w:r>
        <w:t xml:space="preserve"> </w:t>
      </w:r>
      <w:r>
        <w:rPr>
          <w:i/>
        </w:rPr>
        <w:t>§9.1.</w:t>
      </w:r>
      <w:r>
        <w:t xml:space="preserve"> The venue "AABC" is never expanded anywhere in the report. Expand</w:t>
      </w:r>
    </w:p>
    <w:p>
      <w:r>
        <w:t xml:space="preserve">  it or flag it as unknown in-text; leaving an unexpandable acronym on a real</w:t>
      </w:r>
    </w:p>
    <w:p>
      <w:r>
        <w:t xml:space="preserve">  object's record undercuts §9's whole argument about officialdom.</w:t>
      </w:r>
    </w:p>
    <w:p>
      <w:pPr>
        <w:pStyle w:val="ListBullet"/>
      </w:pPr>
      <w:r>
        <w:rPr>
          <w:b/>
        </w:rPr>
        <w:t>m3.</w:t>
      </w:r>
      <w:r>
        <w:t xml:space="preserve"> </w:t>
      </w:r>
      <w:r>
        <w:rPr>
          <w:i/>
        </w:rPr>
        <w:t>§7.4 versus §10.10.</w:t>
      </w:r>
      <w:r>
        <w:t xml:space="preserve"> §7.4 calls the account system "real, tested code,"</w:t>
      </w:r>
    </w:p>
    <w:p>
      <w:r>
        <w:t xml:space="preserve">  while §10.10 states "No automated tests exist in the repository." Reconcile:</w:t>
      </w:r>
    </w:p>
    <w:p>
      <w:r>
        <w:t xml:space="preserve">  presumably "tested" means manually exercised. Say so.</w:t>
      </w:r>
    </w:p>
    <w:p>
      <w:pPr>
        <w:pStyle w:val="ListBullet"/>
      </w:pPr>
      <w:r>
        <w:rPr>
          <w:b/>
        </w:rPr>
        <w:t>m4.</w:t>
      </w:r>
      <w:r>
        <w:t xml:space="preserve"> </w:t>
      </w:r>
      <w:r>
        <w:rPr>
          <w:i/>
        </w:rPr>
        <w:t>§1.4, §5.5.</w:t>
      </w:r>
      <w:r>
        <w:t xml:space="preserve"> "the same colours ... forever" (§1.4) overclaims: stability</w:t>
      </w:r>
    </w:p>
    <w:p>
      <w:r>
        <w:t xml:space="preserve">  holds only while the hash function and the five-palette count are unchanged.</w:t>
      </w:r>
    </w:p>
    <w:p>
      <w:r>
        <w:t xml:space="preserve">  Adding a sixth palette would reshuffle every stamp. Note this dependency.</w:t>
      </w:r>
    </w:p>
    <w:p>
      <w:pPr>
        <w:pStyle w:val="ListBullet"/>
      </w:pPr>
      <w:r>
        <w:rPr>
          <w:b/>
        </w:rPr>
        <w:t>m5.</w:t>
      </w:r>
      <w:r>
        <w:t xml:space="preserve"> </w:t>
      </w:r>
      <w:r>
        <w:rPr>
          <w:i/>
        </w:rPr>
        <w:t>§8.2.</w:t>
      </w:r>
      <w:r>
        <w:t xml:space="preserve"> The README documents only English/French/Italian and omits Hausa,</w:t>
      </w:r>
    </w:p>
    <w:p>
      <w:r>
        <w:t xml:space="preserve">  the report's headline inclusivity feature. This is a documentation gap the report</w:t>
      </w:r>
    </w:p>
    <w:p>
      <w:r>
        <w:t xml:space="preserve">  flags but does not fix; fixing the README is a five-minute change worth making</w:t>
      </w:r>
    </w:p>
    <w:p>
      <w:r>
        <w:t xml:space="preserve">  before submission.</w:t>
      </w:r>
    </w:p>
    <w:p>
      <w:pPr>
        <w:pStyle w:val="ListBullet"/>
      </w:pPr>
      <w:r>
        <w:rPr>
          <w:b/>
        </w:rPr>
        <w:t>m6.</w:t>
      </w:r>
      <w:r>
        <w:t xml:space="preserve"> </w:t>
      </w:r>
      <w:r>
        <w:rPr>
          <w:i/>
        </w:rPr>
        <w:t>§10.9.</w:t>
      </w:r>
      <w:r>
        <w:t xml:space="preserve"> Three versions of the app coexist in the repository with no</w:t>
      </w:r>
    </w:p>
    <w:p>
      <w:r>
        <w:t xml:space="preserve">  documented authoritative one. For reproducibility, state plainly which file a</w:t>
      </w:r>
    </w:p>
    <w:p>
      <w:r>
        <w:t xml:space="preserve">  future reader should build from (the report implies "current source" — say it in</w:t>
      </w:r>
    </w:p>
    <w:p>
      <w:r>
        <w:t xml:space="preserve">  §11 too).</w:t>
      </w:r>
    </w:p>
    <w:p>
      <w:pPr>
        <w:pStyle w:val="ListBullet"/>
      </w:pPr>
      <w:r>
        <w:rPr>
          <w:b/>
        </w:rPr>
        <w:t>m7.</w:t>
      </w:r>
      <w:r>
        <w:t xml:space="preserve"> </w:t>
      </w:r>
      <w:r>
        <w:rPr>
          <w:i/>
        </w:rPr>
        <w:t>§5.11.</w:t>
      </w:r>
      <w:r>
        <w:t xml:space="preserve"> Pre-seeded demonstration stamps dated "May and June 2026" are</w:t>
      </w:r>
    </w:p>
    <w:p>
      <w:r>
        <w:t xml:space="preserve">  fabricated visit records shown to every new guest. Low-stakes, but a passport-styled</w:t>
      </w:r>
    </w:p>
    <w:p>
      <w:r>
        <w:t xml:space="preserve">  app displaying invented dated entries is worth a one-line caveat in-app, not only</w:t>
      </w:r>
    </w:p>
    <w:p>
      <w:r>
        <w:t xml:space="preserve">  in the report.</w:t>
      </w:r>
    </w:p>
    <w:p>
      <w:pPr>
        <w:pStyle w:val="ListBullet"/>
      </w:pPr>
      <w:r>
        <w:rPr>
          <w:b/>
        </w:rPr>
        <w:t>m8.</w:t>
      </w:r>
      <w:r>
        <w:t xml:space="preserve"> </w:t>
      </w:r>
      <w:r>
        <w:rPr>
          <w:i/>
        </w:rPr>
        <w:t>§10.8.</w:t>
      </w:r>
      <w:r>
        <w:t xml:space="preserve"> The base64 profile-picture storage note is honest but belongs</w:t>
      </w:r>
    </w:p>
    <w:p>
      <w:r>
        <w:t xml:space="preserve">  near §7.3 (what the server stores) as well, so the privacy discussion is complete</w:t>
      </w:r>
    </w:p>
    <w:p>
      <w:r>
        <w:t xml:space="preserve">  in one place.</w:t>
      </w:r>
    </w:p>
    <w:p>
      <w:pPr>
        <w:pStyle w:val="Heading2"/>
      </w:pPr>
      <w:r>
        <w:t>Things the report gets right</w:t>
      </w:r>
    </w:p>
    <w:p>
      <w:pPr>
        <w:pStyle w:val="ListBullet"/>
      </w:pPr>
      <w:r>
        <w:rPr>
          <w:b/>
        </w:rPr>
        <w:t>Radical honesty about limitations (§10).</w:t>
      </w:r>
      <w:r>
        <w:t xml:space="preserve"> The paper enumerates its own broken</w:t>
      </w:r>
    </w:p>
    <w:p>
      <w:r>
        <w:t xml:space="preserve">  sign-in (§10.2), placeholder passport number (§10.3), fictional catalogue (§10.5),</w:t>
      </w:r>
    </w:p>
    <w:p>
      <w:r>
        <w:t xml:space="preserve">  and absent tests (§10.10). This candour is rare and genuinely valuable; it is the</w:t>
      </w:r>
    </w:p>
    <w:p>
      <w:r>
        <w:t xml:space="preserve">  paper's most trustworthy quality and should be protected, not sanded down.</w:t>
      </w:r>
    </w:p>
    <w:p>
      <w:pPr>
        <w:pStyle w:val="ListBullet"/>
      </w:pPr>
      <w:r>
        <w:rPr>
          <w:b/>
        </w:rPr>
        <w:t>The deterministic-seed argument (§5.5, §13.2)</w:t>
      </w:r>
      <w:r>
        <w:t xml:space="preserve"> is the intellectual highlight.</w:t>
      </w:r>
    </w:p>
    <w:p>
      <w:r>
        <w:t xml:space="preserve">  The reasoning — that a random colour would make the stamp "feel arbitrary rather</w:t>
      </w:r>
    </w:p>
    <w:p>
      <w:r>
        <w:t xml:space="preserve">  than official," so the emblem must be a function of the work's identity — is</w:t>
      </w:r>
    </w:p>
    <w:p>
      <w:r>
        <w:t xml:space="preserve">  precise, correct, and well-told. It is the clearest instance of the paper</w:t>
      </w:r>
    </w:p>
    <w:p>
      <w:r>
        <w:t xml:space="preserve">  connecting a technical choice to a conceptual claim.</w:t>
      </w:r>
    </w:p>
    <w:p>
      <w:pPr>
        <w:pStyle w:val="ListBullet"/>
      </w:pPr>
      <w:r>
        <w:rPr>
          <w:b/>
        </w:rPr>
        <w:t>Privacy by design (§3.3, §7.1, §7.3).</w:t>
      </w:r>
      <w:r>
        <w:t xml:space="preserve"> A guest mode in which "nothing is</w:t>
      </w:r>
    </w:p>
    <w:p>
      <w:r>
        <w:t xml:space="preserve">  transmitted anywhere" is a substantive ethical stance, and the report resists the</w:t>
      </w:r>
    </w:p>
    <w:p>
      <w:r>
        <w:t xml:space="preserve">  obvious gamified, data-hungry version (§6.1). This is the contribution most worth</w:t>
      </w:r>
    </w:p>
    <w:p>
      <w:r>
        <w:t xml:space="preserve">  foregrounding.</w:t>
      </w:r>
    </w:p>
    <w:p>
      <w:pPr>
        <w:pStyle w:val="ListBullet"/>
      </w:pPr>
      <w:r>
        <w:rPr>
          <w:b/>
        </w:rPr>
        <w:t>Linguistic and cultural reach (§8).</w:t>
      </w:r>
      <w:r>
        <w:t xml:space="preserve"> Shipping Hausa alongside the European</w:t>
      </w:r>
    </w:p>
    <w:p>
      <w:r>
        <w:t xml:space="preserve">  languages, tied to the presence of a Nigerien object, is a thoughtful decision the</w:t>
      </w:r>
    </w:p>
    <w:p>
      <w:r>
        <w:t xml:space="preserve">  report is right to highlight.</w:t>
      </w:r>
    </w:p>
    <w:p>
      <w:pPr>
        <w:pStyle w:val="ListBullet"/>
      </w:pPr>
      <w:r>
        <w:rPr>
          <w:b/>
        </w:rPr>
        <w:t>Prose and structure.</w:t>
      </w:r>
      <w:r>
        <w:t xml:space="preserve"> The plain-language, purpose-per-variable exposition (§5)</w:t>
      </w:r>
    </w:p>
    <w:p>
      <w:r>
        <w:t xml:space="preserve">  is a model of how to make a technical artefact legible to a non-technical reader.</w:t>
      </w:r>
    </w:p>
    <w:p>
      <w:pPr>
        <w:pStyle w:val="Heading2"/>
      </w:pPr>
      <w:r>
        <w:t>Verdict</w:t>
      </w:r>
    </w:p>
    <w:p>
      <w:r>
        <w:rPr>
          <w:b/>
        </w:rPr>
        <w:t>Major revisions.</w:t>
      </w:r>
      <w:r>
        <w:t xml:space="preserve"> The submission is an excellent piece of design documentation</w:t>
      </w:r>
    </w:p>
    <w:p>
      <w:r>
        <w:t>and a promising research paper, held back by three fixable things: an evaluative</w:t>
      </w:r>
    </w:p>
    <w:p>
      <w:r>
        <w:t>conclusion the work never tests, an almost-absent literature footing, and an</w:t>
      </w:r>
    </w:p>
    <w:p>
      <w:r>
        <w:t>ethical thread (Bura) that it raises but declines to resolve. None requires</w:t>
      </w:r>
    </w:p>
    <w:p>
      <w:r>
        <w:t>rebuilding the prototype.</w:t>
      </w:r>
    </w:p>
    <w:p>
      <w:r>
        <w:rPr>
          <w:i/>
        </w:rPr>
        <w:t>Single highest-value revision:</w:t>
      </w:r>
      <w:r>
        <w:t xml:space="preserve"> Reframe the contribution honestly (issues 1 and 4</w:t>
      </w:r>
    </w:p>
    <w:p>
      <w:r>
        <w:t>together) — add an explicit research question and method, and change the Conclusion</w:t>
      </w:r>
    </w:p>
    <w:p>
      <w:r>
        <w:t xml:space="preserve">from "does it work? qualified yes" to a claim about what the </w:t>
      </w:r>
      <w:r>
        <w:rPr>
          <w:i/>
        </w:rPr>
        <w:t>design</w:t>
      </w:r>
      <w:r>
        <w:t xml:space="preserve"> demonstrates.</w:t>
      </w:r>
    </w:p>
    <w:p>
      <w:r>
        <w:t>That one move converts an over-claiming report into an accurate research paper, and</w:t>
      </w:r>
    </w:p>
    <w:p>
      <w:r>
        <w:t>everything else — related work, the Bura remedy — attaches cleanly to it.</w:t>
      </w:r>
    </w:p>
    <w:p>
      <w:pPr>
        <w:pStyle w:val="Heading2"/>
      </w:pPr>
      <w:r>
        <w:t>References</w:t>
      </w:r>
    </w:p>
    <w:p>
      <w:r>
        <w:t>[1] International Council of Museums. *Red List of West African Cultural Objects at</w:t>
      </w:r>
    </w:p>
    <w:p>
      <w:r>
        <w:t>Risk.* ICOM, 2016. (Bura-type terracotta statuettes and pottery are listed.)</w:t>
      </w:r>
    </w:p>
    <w:p>
      <w:r>
        <w:t>[2] UNESCO. *Convention on the Means of Prohibiting and Preventing the Illicit</w:t>
      </w:r>
    </w:p>
    <w:p>
      <w:r>
        <w:t>Import, Export and Transfer of Ownership of Cultural Property.* Paris, 1970. (Niger</w:t>
      </w:r>
    </w:p>
    <w:p>
      <w:r>
        <w:t>is a State Party.)</w:t>
      </w:r>
    </w:p>
    <w:p>
      <w:r>
        <w:t xml:space="preserve">[3] Washington Conference. </w:t>
      </w:r>
      <w:r>
        <w:rPr>
          <w:i/>
        </w:rPr>
        <w:t>Washington Principles on Nazi-Confiscated Art.</w:t>
      </w:r>
      <w:r>
        <w:t xml:space="preserve"> 1998.</w:t>
      </w:r>
    </w:p>
    <w:p>
      <w:r>
        <w:rPr>
          <w:i/>
        </w:rPr>
        <w:t>Note on format:</w:t>
      </w:r>
      <w:r>
        <w:t xml:space="preserve"> per the rendering tool used for this review, references are given</w:t>
      </w:r>
    </w:p>
    <w:p>
      <w:r>
        <w:t>here rather than as Word footnotes, and citations to the paper are located by its</w:t>
      </w:r>
    </w:p>
    <w:p>
      <w:r>
        <w:t>own clause numbering (e.g. §5.5).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