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AI's Carbon Footprint: The Environmental Impact of Artificial Intelligence</w:t>
      </w:r>
    </w:p>
    <w:p>
      <w:r>
        <w:rPr>
          <w:b/>
        </w:rPr>
        <w:t>Reviewer role:</w:t>
      </w:r>
      <w:r>
        <w:t xml:space="preserve"> External referee, full peer review (journal-rigorous bar for a policy-facing survey/synthesis report)</w:t>
      </w:r>
    </w:p>
    <w:p>
      <w:r>
        <w:rPr>
          <w:b/>
        </w:rPr>
        <w:t>Recommendation:</w:t>
      </w:r>
      <w:r>
        <w:t xml:space="preserve"> Major revisions</w:t>
      </w:r>
    </w:p>
    <w:p>
      <w:r>
        <w:rPr>
          <w:b/>
        </w:rPr>
        <w:t>Date:</w:t>
      </w:r>
      <w:r>
        <w:t xml:space="preserve"> 22 July 2026</w:t>
      </w:r>
    </w:p>
    <w:p>
      <w:pPr>
        <w:pStyle w:val="Heading2"/>
      </w:pPr>
      <w:r>
        <w:t>Summary of the submission</w:t>
      </w:r>
    </w:p>
    <w:p>
      <w:r>
        <w:t>This report surveys the environmental cost of artificial intelligence and argues a single, clear thesis: AI's ecological footprint — from training and inference energy, through data-center and cooling infrastructure, to hardware and e-waste — is large and growing, but can be materially reduced through a combination of sustainable engineering practices, policy intervention, and technological innovation "without hindering its development." The paper is organized as a logical funnel: it establishes energy demand (§2), locates that demand in physical infrastructure (§3), catalogs mitigation efforts by industry and academia (§4), and then maps the regulatory and ethical landscape (§5–§6) before a forward-looking conclusion (§7).</w:t>
      </w:r>
    </w:p>
    <w:p>
      <w:r>
        <w:t>The genuine contribution here is synthetic and pedagogical rather than empirical. The authors have assembled, in one accessible place, a wide spread of otherwise scattered material: the training-vs-inference distinction, concrete cooling-technology taxonomies (air, liquid, free, evaporative, hybrid), the two efficiency metrics that practitioners actually use (PUE and WUE), and a genuinely current policy map (the 2024 EU AI Act, the German data-center renewables mandate, the December 2024 U.S. Sustainable Data Centers Act, and the February 2025 AI Action Summit coalition). For a non-specialist reader — a policymaker, a student, an ETC stakeholder — this is a useful and readable primer. The cooling-systems and metrics material (§3) and the regulatory map (§5) are the strongest, most differentiated parts of the report and deliver real value. The writing is clear and the structure serves the argument well.</w:t>
      </w:r>
    </w:p>
    <w:p>
      <w:r>
        <w:t>That said, the report's quantitative backbone — the numbers that make the case feel authoritative — contains errors serious enough to mislead a reader who trusts them, and its sourcing leans heavily on the very parties whose claims most need independent scrutiny. Those are the issues that stand between this draft and a citable one.</w:t>
      </w:r>
    </w:p>
    <w:p>
      <w:pPr>
        <w:pStyle w:val="Heading2"/>
      </w:pPr>
      <w:r>
        <w:t>Major issues</w:t>
      </w:r>
    </w:p>
    <w:p>
      <w:r>
        <w:rPr>
          <w:b/>
        </w:rPr>
        <w:t>1. The inference-energy calculations are internally inconsistent and contain a ~1,000× arithmetic error — and this is the paper's headline claim. (§2, ¶4 and ¶5)</w:t>
      </w:r>
    </w:p>
    <w:p>
      <w:r>
        <w:t xml:space="preserve">The report's central quantitative argument is that inference, at scale, dwarfs training. The supporting numbers do not survive a check. §2 ¶4 states: "at the scale of one trillion queries annually, inference would consume 47,000 megawatt-hours, equivalent to the annual residential electricity use of Ireland." Working the paper's own figures: 0.047 kWh/query × 1,000,000,000,000 queries = 47,000,000,000 kWh = </w:t>
      </w:r>
      <w:r>
        <w:rPr>
          <w:b/>
        </w:rPr>
        <w:t>47,000,000 MWh (47 TWh)</w:t>
      </w:r>
      <w:r>
        <w:t xml:space="preserve"> — not 47,000 MWh. The stated figure is off by a factor of one thousand. (For scale, 47 TWh is on the order of Ireland's </w:t>
      </w:r>
      <w:r>
        <w:rPr>
          <w:i/>
        </w:rPr>
        <w:t>entire</w:t>
      </w:r>
      <w:r>
        <w:t xml:space="preserve"> national electricity consumption, not just residential — so the comparison is also mis-scaled.)</w:t>
      </w:r>
    </w:p>
    <w:p>
      <w:r>
        <w:t xml:space="preserve">Worse, ¶5 then offers a </w:t>
      </w:r>
      <w:r>
        <w:rPr>
          <w:i/>
        </w:rPr>
        <w:t>different</w:t>
      </w:r>
      <w:r>
        <w:t xml:space="preserve"> scenario — 4.3 billion users × 1 query/day — and reports "470,000 megawatt-hours — 365 times the cost of training." But 4.3 billion × 365 days × 0.047 kWh = ~73,800,000 MWh, roughly 157× larger than the number given. The "470,000" figure is instead simply 1,287 MWh × 365; the authors appear to have equated "365 days" with "365× training," a numerical coincidence that has nothing to do with the query volume. The two scenarios are also mutually inconsistent: 1 trillion queries is claimed to cost 47,000 MWh, yet 1.57 trillion queries is claimed to cost 470,000 MWh — a 10× jump in energy for a 1.57× jump in queries. Both cannot be right.</w:t>
      </w:r>
    </w:p>
    <w:p>
      <w:r>
        <w:t>Why it matters: this is the evidentiary core of the "inference dominates" thesis. A referee, a journalist, or a skeptical policymaker who checks one number will lose trust in all of them. Path forward: recompute both scenarios from the 0.047 kWh unit figure, state the assumption explicitly, keep units consistent (report everything in TWh or GWh), and re-derive — not assert — the "×training" multiple. If the 0.047 kWh/query figure itself is retained, cite its primary source, because it sits at the high end of published estimates and is doing enormous leverage in these totals.</w:t>
      </w:r>
    </w:p>
    <w:p>
      <w:r>
        <w:rPr>
          <w:b/>
        </w:rPr>
        <w:t>2. A cluster of technical/factual errors that a domain-literate referee catches on first read. (§2 and §3)</w:t>
      </w:r>
    </w:p>
    <w:p>
      <w:r>
        <w:t>Three concrete errors undercut the report's authority on the engineering it describes:</w:t>
      </w:r>
    </w:p>
    <w:p>
      <w:pPr>
        <w:pStyle w:val="ListBullet"/>
      </w:pPr>
      <w:r>
        <w:rPr>
          <w:b/>
        </w:rPr>
        <w:t>PUE scale is stated backwards (§3, ¶4).</w:t>
      </w:r>
      <w:r>
        <w:t xml:space="preserve"> The report says PUE's "scale is 0–1.0, with 1.0 being ideal." Power Usage Effectiveness is total facility energy divided by IT energy; it is bounded </w:t>
      </w:r>
      <w:r>
        <w:rPr>
          <w:i/>
        </w:rPr>
        <w:t>below</w:t>
      </w:r>
      <w:r>
        <w:t xml:space="preserve"> by 1.0 and is unbounded above (real data centers run ~1.1–2.0). A value below 1.0 is physically impossible. The correct statement is "1.0 is the ideal floor; lower is better, but PUE ≥ 1.0 always." As written, the definition is not just imprecise but wrong.</w:t>
      </w:r>
    </w:p>
    <w:p>
      <w:pPr>
        <w:pStyle w:val="ListBullet"/>
      </w:pPr>
      <w:r>
        <w:rPr>
          <w:b/>
        </w:rPr>
        <w:t>BERT carbon figure is misattributed and internally inconsistent (§2, final metrics ¶).</w:t>
      </w:r>
      <w:r>
        <w:t xml:space="preserve"> The report says training "a 110 million-parameter BERT model … required 1,507 kilowatt-hours," then that "training the BERT-base model on a coal-powered grid generated 626,000 pounds of carbon dioxide." These cannot both describe the same run: 1,507 kWh even on a coal grid (~1 kg CO₂/kWh) yields on the order of ~3,300 lbs, not 626,000 lbs. The 626,000 lb figure is Strubell et al. (2019)'s number for a full </w:t>
      </w:r>
      <w:r>
        <w:rPr>
          <w:i/>
        </w:rPr>
        <w:t>neural architecture search</w:t>
      </w:r>
      <w:r>
        <w:t xml:space="preserve"> with hyperparameter tuning — not BERT-base training. Attributing it to BERT-base is a factual error and produces a two-orders-of-magnitude internal contradiction.</w:t>
      </w:r>
    </w:p>
    <w:p>
      <w:pPr>
        <w:pStyle w:val="ListBullet"/>
      </w:pPr>
      <w:r>
        <w:rPr>
          <w:b/>
        </w:rPr>
        <w:t>"Rare earth elements like lithium, cobalt, and nickel" (§3, ¶2).</w:t>
      </w:r>
      <w:r>
        <w:t xml:space="preserve"> None of these three is a rare-earth element. Rare earths are the lanthanides plus scandium and yttrium; lithium, cobalt, and nickel are (critical) battery/industrial metals. The extraction-impact point is valid, but the mineralogy is wrong and easily corrected to "critical minerals such as lithium, cobalt, and nickel, alongside rare-earth elements used in magnets and electronics."</w:t>
      </w:r>
    </w:p>
    <w:p>
      <w:r>
        <w:t>Why it matters: these are exactly the details a technically fluent reviewer uses to gauge whether the authors understand their own subject. Each is a quick fix, but collectively they read as insufficient verification. Path forward: correct all three; then spot-check every other hardware/metric claim against a primary source before resubmission.</w:t>
      </w:r>
    </w:p>
    <w:p>
      <w:r>
        <w:rPr>
          <w:b/>
        </w:rPr>
        <w:t>3. The evidence base over-relies on corporate self-reporting and grey literature, and reproduces sustainability claims uncritically. (§4 throughout; sourcing in the References)</w:t>
      </w:r>
    </w:p>
    <w:p>
      <w:r>
        <w:t xml:space="preserve">The mitigation section is essentially a catalog of corporate pledges relayed at face value: Google's "100% carbon-free energy by 2030," a "40%" cooling reduction, Microsoft "carbon-negative by 2030," AWS "100% renewable energy by 2040 and … fairly successful in meeting this goal by 2024," and Meta's LLaMA-3 emissions "fully offset by Meta's sustainability initiatives." These come from the companies' own blogs and sustainability pages (About Amazon, The Microsoft Cloud, Google Data Centers, Meta Sustainability), i.e., the parties with the strongest incentive to present favorably. Two problems compound this. First, the AWS claim is internally garbled — a </w:t>
      </w:r>
      <w:r>
        <w:rPr>
          <w:i/>
        </w:rPr>
        <w:t>2040</w:t>
      </w:r>
      <w:r>
        <w:t xml:space="preserve"> target cannot have been "met by 2024," and Amazon's renewable claims rest on contested renewable-energy-credit accounting that the report doesn't mention. Second, "fully offset" is presented as if offsetting equals not emitting; the well-known critiques of offset quality and market-based (vs location-based) carbon accounting go unmentioned. Meanwhile, the peer-reviewed studies that actually generated the report's headline numbers — Strubell et al. (2019), Patterson et al. (2021), Luccioni et al. (2022) — are cited only secondhand through outlets like Earth.org, HBR, and vendor blogs, and do not appear by name in the reference list.</w:t>
      </w:r>
    </w:p>
    <w:p>
      <w:r>
        <w:t xml:space="preserve">Why it matters: the review dimension most weakened here is </w:t>
      </w:r>
      <w:r>
        <w:rPr>
          <w:i/>
        </w:rPr>
        <w:t>Critique</w:t>
      </w:r>
      <w:r>
        <w:t xml:space="preserve"> — weighing source trustworthiness rather than treating every citation as equally authoritative. A survey of AI's environmental impact that relays greenwashing-prone claims without scrutiny risks laundering them. Path forward: (a) add and cite the primary studies directly; (b) for each corporate claim, distinguish pledge from achievement and market-based from location-based accounting, and add one sentence of independent context or critique; (c) fix the AWS 2040/2024 contradiction.</w:t>
      </w:r>
    </w:p>
    <w:p>
      <w:r>
        <w:rPr>
          <w:b/>
        </w:rPr>
        <w:t>4. The thesis's load-bearing qualifier — "without hindering its development" — is asserted but never argued. (Thesis; §1; §7)</w:t>
      </w:r>
    </w:p>
    <w:p>
      <w:r>
        <w:t xml:space="preserve">The thesis promises that mitigation "can significantly reduce AI's ecological footprint </w:t>
      </w:r>
      <w:r>
        <w:rPr>
          <w:i/>
        </w:rPr>
        <w:t>without hindering its development and role in advancing society</w:t>
      </w:r>
      <w:r>
        <w:t xml:space="preserve">." This clause is the paper's real claim to nuance — it distinguishes the report from a simple "AI is bad for the planet" polemic. Yet nothing in the body defends it. There is no engagement with the central tension: efficiency gains that also enable </w:t>
      </w:r>
      <w:r>
        <w:rPr>
          <w:i/>
        </w:rPr>
        <w:t>more</w:t>
      </w:r>
      <w:r>
        <w:t xml:space="preserve"> use (the Jevons/rebound problem, which the report's own "inference dominates at scale" argument implies), or the possibility that binding regulation slows deployment. Likewise, the recurring counter-thread that "AI can be part of the solution" (§5–§7) is asserted through initiative names (WEKA, Bezos Earth Fund, UNFCCC) rather than evidenced with net-impact estimates.</w:t>
      </w:r>
    </w:p>
    <w:p>
      <w:r>
        <w:t>Why it matters: a thesis has a promissory structure — the introduction should promise exactly what the paper delivers. Right now the "without hindering development" clause and the "AI-as-climate-solution" theme are rhetorical bookends, not supported conclusions. Path forward: either (a) add a short subsection that directly engages the efficiency/rebound tradeoff and cites at least one estimate of AI's net climate effect, or (b) soften the thesis to what the evidence supports (e.g., "…can materially reduce AI's footprint, though tensions between efficiency and expanding deployment remain unresolved").</w:t>
      </w:r>
    </w:p>
    <w:p>
      <w:pPr>
        <w:pStyle w:val="Heading2"/>
      </w:pPr>
      <w:r>
        <w:t>Minor issues</w:t>
      </w:r>
    </w:p>
    <w:p>
      <w:pPr>
        <w:pStyle w:val="ListBullet"/>
      </w:pPr>
      <w:r>
        <w:rPr>
          <w:b/>
        </w:rPr>
        <w:t>m1. Unsourced, potentially conflicting framing claim (§2, ¶1).</w:t>
      </w:r>
      <w:r>
        <w:t xml:space="preserve"> "Inference accounting for 60 to 80 percent of total energy use" opens the section with no citation, and later §2 states pre-training is "90 to 95 percent of total lifecycle energy in large models." These can coexist (per-model lifecycle vs. fleet-wide operational totals) but the report never reconciles them; add one clause distinguishing the two framings.</w:t>
      </w:r>
    </w:p>
    <w:p>
      <w:pPr>
        <w:pStyle w:val="ListBullet"/>
      </w:pPr>
      <w:r>
        <w:rPr>
          <w:b/>
        </w:rPr>
        <w:t>m2. Sections 5 and 6 substantially overlap.</w:t>
      </w:r>
      <w:r>
        <w:t xml:space="preserve"> "Regulatory Frameworks" and "Ethical &amp; Policy Considerations" both cover the EU AI Act, national policies, and international agreements; §6 is the vaguer and less-sourced of the two (China's "Green AI Initiative," OECD principles, Paris Agreement appear without citations). Consider merging into one policy section to remove redundancy and concentrate sourcing.</w:t>
      </w:r>
    </w:p>
    <w:p>
      <w:pPr>
        <w:pStyle w:val="ListBullet"/>
      </w:pPr>
      <w:r>
        <w:rPr>
          <w:b/>
        </w:rPr>
        <w:t>m3. "GPT-3" vs "OpenAI's 175 billion-parameter model" (§2).</w:t>
      </w:r>
      <w:r>
        <w:t xml:space="preserve"> The report names the model inconsistently across paragraphs; standardize to "GPT-3 (175B parameters)" on first mention and "GPT-3" thereafter.</w:t>
      </w:r>
    </w:p>
    <w:p>
      <w:pPr>
        <w:pStyle w:val="ListBullet"/>
      </w:pPr>
      <w:r>
        <w:rPr>
          <w:b/>
        </w:rPr>
        <w:t>m4. DeepMind "280 billion-parameter system" (§2, ¶2)</w:t>
      </w:r>
      <w:r>
        <w:t xml:space="preserve"> is Gopher — naming it would let readers verify the 1,066 MWh figure.</w:t>
      </w:r>
    </w:p>
    <w:p>
      <w:pPr>
        <w:pStyle w:val="ListBullet"/>
      </w:pPr>
      <w:r>
        <w:rPr>
          <w:b/>
        </w:rPr>
        <w:t>m5. The 0.047 kWh/ChatGPT-query figure (§2, ¶4)</w:t>
      </w:r>
      <w:r>
        <w:t xml:space="preserve"> is high relative to commonly cited estimates (~0.002–0.005 kWh); given how much downstream arithmetic depends on it, it needs a primary citation and ideally a stated range.</w:t>
      </w:r>
    </w:p>
    <w:p>
      <w:pPr>
        <w:pStyle w:val="ListBullet"/>
      </w:pPr>
      <w:r>
        <w:rPr>
          <w:b/>
        </w:rPr>
        <w:t>m6. Citation style is inconsistent</w:t>
      </w:r>
      <w:r>
        <w:t xml:space="preserve"> between the inline "(Author, year)" convention in some sections and bare institutional attributions ("Digital Realty," "Vertiv," "Masters DC") in §3; normalize.</w:t>
      </w:r>
    </w:p>
    <w:p>
      <w:pPr>
        <w:pStyle w:val="ListBullet"/>
      </w:pPr>
      <w:r>
        <w:rPr>
          <w:b/>
        </w:rPr>
        <w:t>m7. "Scale is 0–1.0" aside on WUE (§3)</w:t>
      </w:r>
      <w:r>
        <w:t xml:space="preserve"> — confirm WUE is reported with its unit (liters per kWh); as written it is described only comparatively.</w:t>
      </w:r>
    </w:p>
    <w:p>
      <w:pPr>
        <w:pStyle w:val="Heading2"/>
      </w:pPr>
      <w:r>
        <w:t>Things the report gets right</w:t>
      </w:r>
    </w:p>
    <w:p>
      <w:pPr>
        <w:pStyle w:val="ListBullet"/>
      </w:pPr>
      <w:r>
        <w:rPr>
          <w:b/>
        </w:rPr>
        <w:t>The cooling-technology taxonomy (§3) is genuinely strong</w:t>
      </w:r>
      <w:r>
        <w:t xml:space="preserve"> — the labelled treatment of air, liquid (direct-to-chip vs. immersion), free, evaporative, and hybrid cooling, each with tradeoffs, is clear, correctly reasoned, and hard to find assembled this cleanly elsewhere. Protect this section; it is the report's most differentiated contribution.</w:t>
      </w:r>
    </w:p>
    <w:p>
      <w:pPr>
        <w:pStyle w:val="ListBullet"/>
      </w:pPr>
      <w:r>
        <w:rPr>
          <w:b/>
        </w:rPr>
        <w:t>The training/inference distinction is well-explained</w:t>
      </w:r>
      <w:r>
        <w:t xml:space="preserve"> and the qualitative point — that per-task-cheap inference becomes the dominant cost at scale — is the right and important insight, even though the specific numbers need repair.</w:t>
      </w:r>
    </w:p>
    <w:p>
      <w:pPr>
        <w:pStyle w:val="ListBullet"/>
      </w:pPr>
      <w:r>
        <w:rPr>
          <w:b/>
        </w:rPr>
        <w:t>The policy map (§5) is current and concrete.</w:t>
      </w:r>
      <w:r>
        <w:t xml:space="preserve"> Naming the EU AI Act's Article 40 disclosure provision, the Energy Efficiency Directive's 500 kW threshold, Germany's data-center renewables mandate, the U.S. Sustainable Data Centers Act (Dec 2024), and the Feb 2025 AI Action Summit coalition gives the report real timeliness and specificity.</w:t>
      </w:r>
    </w:p>
    <w:p>
      <w:pPr>
        <w:pStyle w:val="ListBullet"/>
      </w:pPr>
      <w:r>
        <w:rPr>
          <w:b/>
        </w:rPr>
        <w:t>The carbon-intensity-of-grid framing is exactly right pedagogically</w:t>
      </w:r>
      <w:r>
        <w:t xml:space="preserve"> — the 552 t vs. 24 t (coal vs. renewable) and Wyoming vs. Quebec contrasts make the "where and when you compute matters" point vivid, and the WattTime marginal-emissions mention shows awareness of how this is measured in practice.</w:t>
      </w:r>
    </w:p>
    <w:p>
      <w:pPr>
        <w:pStyle w:val="ListBullet"/>
      </w:pPr>
      <w:r>
        <w:rPr>
          <w:b/>
        </w:rPr>
        <w:t>The prose is clear and the funnel structure works.</w:t>
      </w:r>
      <w:r>
        <w:t xml:space="preserve"> A non-specialist can follow the argument from energy demand to infrastructure to mitigation to policy without getting lost.</w:t>
      </w:r>
    </w:p>
    <w:p>
      <w:pPr>
        <w:pStyle w:val="Heading2"/>
      </w:pPr>
      <w:r>
        <w:t>Verdict</w:t>
      </w:r>
    </w:p>
    <w:p>
      <w:r>
        <w:rPr>
          <w:b/>
        </w:rPr>
        <w:t>Major revisions.</w:t>
      </w:r>
      <w:r>
        <w:t xml:space="preserve"> This is a well-structured, readable, and genuinely useful synthesis whose engineering and policy sections deliver real value — but its quantitative backbone and its handling of sources are not yet trustworthy enough to cite. The single highest-value revision is to </w:t>
      </w:r>
      <w:r>
        <w:rPr>
          <w:b/>
        </w:rPr>
        <w:t>repair the numbers</w:t>
      </w:r>
      <w:r>
        <w:t>: recompute the inference-energy scenarios from consistent units (the current figures are off by ~1,000× and contradict each other in §2 ¶4–5), fix the misattributed BERT/626,000 lb carbon figure and the inverted PUE definition, and correct the "rare earth" mineralogy. Do that, add the primary peer-reviewed sources the headline numbers actually come from, and add a sentence of independent scrutiny to each corporate claim, and this becomes a solid, citable primer.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