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AI-Powered Assistance in Formulating Research Questions: A Research Report on the Use of Artificial Intelligence to Help Researchers Frame Better Questions</w:t>
      </w:r>
    </w:p>
    <w:p>
      <w:r>
        <w:rPr>
          <w:b/>
        </w:rPr>
        <w:t>Reviewed as:</w:t>
      </w:r>
      <w:r>
        <w:t xml:space="preserve"> Full peer review, at the bar of a practitioner- and policy-facing survey venue (research-integrity / applied-AI-in-scholarship). The paper announces a non-technical audience, so I review the framing, contribution, evidence, and literature positioning — not comma-level polish.</w:t>
      </w:r>
    </w:p>
    <w:p>
      <w:r>
        <w:rPr>
          <w:b/>
        </w:rPr>
        <w:t>Recommendation:</w:t>
      </w:r>
      <w:r>
        <w:t xml:space="preserve"> Major revisions</w:t>
      </w:r>
    </w:p>
    <w:p>
      <w:r>
        <w:rPr>
          <w:b/>
        </w:rPr>
        <w:t>Reviewer:</w:t>
      </w:r>
      <w:r>
        <w:t xml:space="preserve"> Independent referee, Ethical Tech CoLab review panel</w:t>
      </w:r>
    </w:p>
    <w:p>
      <w:r>
        <w:rPr>
          <w:b/>
        </w:rPr>
        <w:t>Date:</w:t>
      </w:r>
      <w:r>
        <w:t xml:space="preserve"> 22 July 2026</w:t>
      </w:r>
    </w:p>
    <w:p>
      <w:pPr>
        <w:pStyle w:val="Heading2"/>
      </w:pPr>
      <w:r>
        <w:t>Summary of the submission</w:t>
      </w:r>
    </w:p>
    <w:p>
      <w:r>
        <w:t xml:space="preserve">The paper is a plain-language survey and practitioner guide covering how large language models are being used at the </w:t>
      </w:r>
      <w:r>
        <w:rPr>
          <w:i/>
        </w:rPr>
        <w:t>earliest</w:t>
      </w:r>
      <w:r>
        <w:t xml:space="preserve"> stage of research — choosing and phrasing the research question — together with the guardrails that such use requires. It makes three moves. First, it maps current practice into five mechanisms (§4): gap-finding, candidate-question generation, summarisation of prior work, contradiction-detection, and integrated assistants, each anchored to named systems (GapFinder, SCIMUSE, AGATHA, Elicit, Scite, and others). Second, it presents and dissects a reusable "researcher prompt" (§5) that converts a general chatbot into a constrained instrument enforcing stated quality tests — questions must be specific, feasible, and grounded in theory; every source must carry a credibility score (§6) and a verification link; methods must be ranked with assumptions and identification strategies exposed. Third, it argues a guardrail architecture (§7): four researcher obligations, a second "red-team" AI instructed only to attack the first's output, and a conflict-of-interest-detection application.</w:t>
      </w:r>
    </w:p>
    <w:p>
      <w:r>
        <w:t xml:space="preserve">The strongest version of this contribution is not the tool inventory, which dates quickly (§9.7), but the design </w:t>
      </w:r>
      <w:r>
        <w:rPr>
          <w:i/>
        </w:rPr>
        <w:t>principle</w:t>
      </w:r>
      <w:r>
        <w:t xml:space="preserve"> the paper distils and defends: an AI question-assistant earns trust only by exposing its reasoning — score, link, ranked alternatives, explicit admission of absence — rather than by sounding confident, and the researcher who cannot defend the question without the assistant does not yet own it (§12). That is a genuinely useful, transferable stance, and the paper delivers it with unusual clarity and candour.</w:t>
      </w:r>
    </w:p>
    <w:p>
      <w:pPr>
        <w:pStyle w:val="Heading2"/>
      </w:pPr>
      <w:r>
        <w:t>Major issues</w:t>
      </w:r>
    </w:p>
    <w:p>
      <w:r>
        <w:rPr>
          <w:b/>
        </w:rPr>
        <w:t>1. The document's genre and unit of contribution are never resolved.</w:t>
      </w:r>
      <w:r>
        <w:t xml:space="preserve"> </w:t>
      </w:r>
      <w:r>
        <w:rPr>
          <w:i/>
        </w:rPr>
        <w:t>Location: Foreword, §1.1, §1.7, and the running use of "the paper" vs. "this report" vs. "the repository" throughout §4–§9.</w:t>
      </w:r>
      <w:r>
        <w:t xml:space="preserve"> The Foreword calls the document "a plain-language review of the research materials in this repository," yet the body repeatedly refers to "the paper" as a </w:t>
      </w:r>
      <w:r>
        <w:rPr>
          <w:i/>
        </w:rPr>
        <w:t>separate</w:t>
      </w:r>
      <w:r>
        <w:t xml:space="preserve"> object it is summarising (e.g., §4 "The paper groups current practice…", §5.3 "the prompt…", §9.5 "The paper attributes SCIMUSE to NeurIPS 2024"). So there appear to be two artifacts fused into one file: an underlying academic survey, and a meta-report </w:t>
      </w:r>
      <w:r>
        <w:rPr>
          <w:i/>
        </w:rPr>
        <w:t>about</w:t>
      </w:r>
      <w:r>
        <w:t xml:space="preserve"> that survey plus a prompt and a rubric. </w:t>
      </w:r>
      <w:r>
        <w:rPr>
          <w:b/>
        </w:rPr>
        <w:t>Why it matters:</w:t>
      </w:r>
      <w:r>
        <w:t xml:space="preserve"> a referee cannot assess a contribution they cannot locate. Is the deliverable the survey, the prompt, or a commentary on both? The abstract-level claim in §1.4 ("The most concrete contribution in the repository is not the survey but the prompt") concedes the document is reviewing artifacts it did not itself produce — which makes </w:t>
      </w:r>
      <w:r>
        <w:rPr>
          <w:i/>
        </w:rPr>
        <w:t>this</w:t>
      </w:r>
      <w:r>
        <w:t xml:space="preserve"> text a review, not a research paper, and changes what standard applies. </w:t>
      </w:r>
      <w:r>
        <w:rPr>
          <w:b/>
        </w:rPr>
        <w:t>Path forward:</w:t>
      </w:r>
      <w:r>
        <w:t xml:space="preserve"> decide what this document </w:t>
      </w:r>
      <w:r>
        <w:rPr>
          <w:i/>
        </w:rPr>
        <w:t>is</w:t>
      </w:r>
      <w:r>
        <w:t xml:space="preserve"> and say so in the first paragraph. If it is the survey, drop the third-person "the paper" framing and own the claims directly. If it is a critical commentary on a separate repository, label it as such, cite the underlying paper as a distinct source, and stop absorbing its claims into the first person. Fix the referential vocabulary to one consistent term per object.</w:t>
      </w:r>
    </w:p>
    <w:p>
      <w:r>
        <w:rPr>
          <w:b/>
        </w:rPr>
        <w:t>2. In a paper whose central thesis is that citations must be verifiable, the citations are unverifiable and partly wrong.</w:t>
      </w:r>
      <w:r>
        <w:t xml:space="preserve"> </w:t>
      </w:r>
      <w:r>
        <w:rPr>
          <w:i/>
        </w:rPr>
        <w:t>Location: §4.2, §9.4, §9.5.</w:t>
      </w:r>
      <w:r>
        <w:t xml:space="preserve"> The paper's load-bearing recommendation is that every cited source arrive with a score and a working link so fabrication is checkable in seconds (§5.5, §12.1). Yet its own citation markers "survive only as plain-text domain hints… with no links behind them" (§9.4), and the specific attributions do not hold up: I confirmed that the SCIMUSE work (Gu &amp; Krenn, "Generation and human-expert evaluation of interesting research ideas using knowledge graphs and large language models") is arXiv:2405.17044 and is associated with ICML 2024 / OpenReview — </w:t>
      </w:r>
      <w:r>
        <w:rPr>
          <w:b/>
        </w:rPr>
        <w:t>not NeurIPS 2024</w:t>
      </w:r>
      <w:r>
        <w:t xml:space="preserve"> as §4.2 and §9.5 state; the "roughly one quarter rated four or five" figure (§4.2) does not appear in the abstract and I could not source it (the published evaluation reports predictive precision above 65%, a different metric); AGATHA is confirmed as CIKM 2020, which §9.5 admits the paper fails to state. </w:t>
      </w:r>
      <w:r>
        <w:rPr>
          <w:b/>
        </w:rPr>
        <w:t>Why it matters:</w:t>
      </w:r>
      <w:r>
        <w:t xml:space="preserve"> this is the paper's own standard turned against it. A reader applying the paper's Section 5.5 test to the paper itself would flag it. Section 9 discloses the problem honestly, but disclosure is not repair — the argument's credibility depends on the author meeting the bar they set for others. </w:t>
      </w:r>
      <w:r>
        <w:rPr>
          <w:b/>
        </w:rPr>
        <w:t>Path forward:</w:t>
      </w:r>
      <w:r>
        <w:t xml:space="preserve"> build a real </w:t>
      </w:r>
      <w:r>
        <w:rPr>
          <w:rFonts w:ascii="Courier New" w:hAnsi="Courier New"/>
        </w:rPr>
        <w:t>## References</w:t>
      </w:r>
      <w:r>
        <w:t xml:space="preserve"> apparatus with DOIs/URLs for every named system and claim; correct the SCIMUSE venue to arXiv:2405.17044 / ICML 2024; either source the 25% figure to a page in the full text or replace it with the precision figure that is actually reported; add the CIKM 2020 venue for AGATHA. This single fix does more for the paper's authority than any new content.</w:t>
      </w:r>
    </w:p>
    <w:p>
      <w:r>
        <w:rPr>
          <w:b/>
        </w:rPr>
        <w:t>3. The most concrete contribution is entirely unevaluated, and the paper leans on design argument in its place.</w:t>
      </w:r>
      <w:r>
        <w:t xml:space="preserve"> </w:t>
      </w:r>
      <w:r>
        <w:rPr>
          <w:i/>
        </w:rPr>
        <w:t>Location: §1.4 vs. §9.2; also §5.9, §7.4–§7.5.</w:t>
      </w:r>
      <w:r>
        <w:t xml:space="preserve"> The prompt is named the primary contribution (§1.4), yet §9.2 concedes there is "no record of testing it against an unguided assistant, no measurement of whether it reduces fabricated citations, and no comparison of the questions it produces against questions produced without it." Every claim about the prompt's effect — that declaring doctoral level "raises the technical floor" (§5.2), that the self-consistency check "catches a meaningful share" of violations (§5.9), that the red-team agent "raises the cost of an undetected error" (§7.5) — is a plausibility argument, not a result. </w:t>
      </w:r>
      <w:r>
        <w:rPr>
          <w:b/>
        </w:rPr>
        <w:t>Why it matters:</w:t>
      </w:r>
      <w:r>
        <w:t xml:space="preserve"> for a paper offering an instrument, "well argued but they remain arguments" (§9.2) is the gap a referee seizes on. The mechanism most in doubt — whether a second AI can reliably audit the first — is precisely the one the paper elevates to a structural proposal, and §7.5 correctly notes both models "share the same underlying weaknesses" (correlated errors), which is exactly why it needs measurement rather than reasoning. </w:t>
      </w:r>
      <w:r>
        <w:rPr>
          <w:b/>
        </w:rPr>
        <w:t>Path forward:</w:t>
      </w:r>
      <w:r>
        <w:t xml:space="preserve"> specify a minimal evaluation protocol even if you cannot run it in this revision — e.g., N questions across two fields, prompt-on vs. prompt-off, measuring fabricated-citation rate and independent-rater question quality; for the red-team claim, a small test of whether a second instance catches injected fabrications above chance. Reframe the contribution honestly as "a design and its rationale, pending evaluation," and move that reframing from §9 into the abstract (§1.4).</w:t>
      </w:r>
    </w:p>
    <w:p>
      <w:r>
        <w:rPr>
          <w:b/>
        </w:rPr>
        <w:t>4. The work is under-positioned against the established literature on research-question quality.</w:t>
      </w:r>
      <w:r>
        <w:t xml:space="preserve"> </w:t>
      </w:r>
      <w:r>
        <w:rPr>
          <w:i/>
        </w:rPr>
        <w:t>Location: §2.2, §5.3.</w:t>
      </w:r>
      <w:r>
        <w:t xml:space="preserve"> Section 2.2 asserts "there is very little that helps at the point where the question itself is chosen," and §5.3 introduces the three core tests (specific, feasible, grounded) as if largely novel, only later noting a partial overlap with FINER (Hulley et al.) — which the paper explicitly does not cite. But question-formulation frameworks are a developed area: FINER, PICO/PICOS, PEO, SPIDER, and the broader "answerable question" literature in evidence-based practice all pre-formalise exactly the specificity and feasibility tests the prompt encodes. </w:t>
      </w:r>
      <w:r>
        <w:rPr>
          <w:b/>
        </w:rPr>
        <w:t>Why it matters:</w:t>
      </w:r>
      <w:r>
        <w:t xml:space="preserve"> the identified gap (§2.2) is partly manufactured by not engaging this work; a demanding referee reads the "very little exists" claim as either unaware of, or eliding, decades of methodology. The paper's careful, honest handling of FINER in §5.3 actually shows the author </w:t>
      </w:r>
      <w:r>
        <w:rPr>
          <w:i/>
        </w:rPr>
        <w:t>knows</w:t>
      </w:r>
      <w:r>
        <w:t xml:space="preserve"> better — which makes the missing engagement more conspicuous, not less. </w:t>
      </w:r>
      <w:r>
        <w:rPr>
          <w:b/>
        </w:rPr>
        <w:t>Path forward:</w:t>
      </w:r>
      <w:r>
        <w:t xml:space="preserve"> add a short positioning passage in §2 or §5.3 that names FINER, PICO, and their kin, cites Hulley et al. properly, and states precisely what the prompt adds over them (operationalising these tests for an AI assistant, plus source-scoring and identification-strategy demands). This converts a manufactured gap into a real, defensible one.</w:t>
      </w:r>
    </w:p>
    <w:p>
      <w:pPr>
        <w:pStyle w:val="Heading2"/>
      </w:pPr>
      <w:r>
        <w:t>Minor issues</w:t>
      </w:r>
    </w:p>
    <w:p>
      <w:pPr>
        <w:pStyle w:val="ListBullet"/>
      </w:pPr>
      <w:r>
        <w:rPr>
          <w:b/>
        </w:rPr>
        <w:t>m1. §2.3 — "the task is one of recombination rather than truth."</w:t>
      </w:r>
      <w:r>
        <w:t xml:space="preserve"> Overstated. A fabricated gap or an overstated consensus (which the paper itself warns about in §7.1) is a truth-apt error, not a mere proposal. Soften to "recombination </w:t>
      </w:r>
      <w:r>
        <w:rPr>
          <w:i/>
        </w:rPr>
        <w:t>rather than direct truth-claiming</w:t>
      </w:r>
      <w:r>
        <w:t>," and reconcile with §2.4/§7.1.</w:t>
      </w:r>
    </w:p>
    <w:p>
      <w:pPr>
        <w:pStyle w:val="ListBullet"/>
      </w:pPr>
      <w:r>
        <w:rPr>
          <w:b/>
        </w:rPr>
        <w:t>m2. §4.2 — "these systems do not discover anything… They recombine."</w:t>
      </w:r>
      <w:r>
        <w:t xml:space="preserve"> Rhetorically strong but philosophically contestable — much scientific discovery </w:t>
      </w:r>
      <w:r>
        <w:rPr>
          <w:i/>
        </w:rPr>
        <w:t>is</w:t>
      </w:r>
      <w:r>
        <w:t xml:space="preserve"> recombination (literature-based discovery, which the paper cites approvingly in §4.1, is the counterexample). Either qualify or defend the distinction.</w:t>
      </w:r>
    </w:p>
    <w:p>
      <w:pPr>
        <w:pStyle w:val="ListBullet"/>
      </w:pPr>
      <w:r>
        <w:rPr>
          <w:b/>
        </w:rPr>
        <w:t>m3. §6 — the rubric folds three different constructs into one ordinal scale.</w:t>
      </w:r>
      <w:r>
        <w:t xml:space="preserve"> Selectivity, peer-review rigour, and citation impact are distinct and can diverge (§6.4 half-acknowledges this for impact factor). State how they trade off when they conflict, or the "5" is under-defined.</w:t>
      </w:r>
    </w:p>
    <w:p>
      <w:pPr>
        <w:pStyle w:val="ListBullet"/>
      </w:pPr>
      <w:r>
        <w:rPr>
          <w:b/>
        </w:rPr>
        <w:t>m4. §5.3 / §9.3 — open-access placed at level 3.</w:t>
      </w:r>
      <w:r>
        <w:t xml:space="preserve"> The paper twice concedes this is "unfair to several rigorous open-access journals." Since it is conceded, fix it: reference DOAJ indexing or a quality signal rather than the publishing model, and the caveat disappears.</w:t>
      </w:r>
    </w:p>
    <w:p>
      <w:pPr>
        <w:pStyle w:val="ListBullet"/>
      </w:pPr>
      <w:r>
        <w:rPr>
          <w:b/>
        </w:rPr>
        <w:t>m5. §4.5 — retrieval-augmented generation described without citation.</w:t>
      </w:r>
      <w:r>
        <w:t xml:space="preserve"> RAG is given a mechanism sentence but no source (Lewis et al., 2020). In a paper about citation discipline, name the origin.</w:t>
      </w:r>
    </w:p>
    <w:p>
      <w:pPr>
        <w:pStyle w:val="ListBullet"/>
      </w:pPr>
      <w:r>
        <w:rPr>
          <w:b/>
        </w:rPr>
        <w:t>m6. §1.4 vs. §5.5 vs. §12.1 — competing "most important" claims.</w:t>
      </w:r>
      <w:r>
        <w:t xml:space="preserve"> §1.4 calls the prompt the most concrete contribution; §5.5 calls the verification link "the single most important instruction"; §12.1 makes the score-plus-link pairing do "most of the work." These are reconcilable but read as three superlatives. Pick the hierarchy and state it once.</w:t>
      </w:r>
    </w:p>
    <w:p>
      <w:pPr>
        <w:pStyle w:val="ListBullet"/>
      </w:pPr>
      <w:r>
        <w:rPr>
          <w:b/>
        </w:rPr>
        <w:t>m7. Referential terminology drifts</w:t>
      </w:r>
      <w:r>
        <w:t xml:space="preserve"> — "the paper," "this report," "the repository," "the materials" are used near-interchangeably (pervasive; e.g., §1.1, §9.1, §11.1). Tied to Major 1; fix once the genre is settled.</w:t>
      </w:r>
    </w:p>
    <w:p>
      <w:pPr>
        <w:pStyle w:val="Heading2"/>
      </w:pPr>
      <w:r>
        <w:t>Things the report gets right</w:t>
      </w:r>
    </w:p>
    <w:p>
      <w:pPr>
        <w:pStyle w:val="ListBullet"/>
      </w:pPr>
      <w:r>
        <w:rPr>
          <w:b/>
        </w:rPr>
        <w:t>Exceptional plain-language exposition.</w:t>
      </w:r>
      <w:r>
        <w:t xml:space="preserve"> Knowledge graphs (§4.1), keyword co-occurrence (§4.1), retrieval-augmented generation (§4.5), and identification strategy (§5.8) are each explained accurately for a non-technical reader without dumbing down. This is genuinely hard and the paper does it consistently.</w:t>
      </w:r>
    </w:p>
    <w:p>
      <w:pPr>
        <w:pStyle w:val="ListBullet"/>
      </w:pPr>
      <w:r>
        <w:rPr>
          <w:b/>
        </w:rPr>
        <w:t>Intellectual honesty that most submissions lack.</w:t>
      </w:r>
      <w:r>
        <w:t xml:space="preserve"> Section 9 is a model limitations section — it discloses that the paper is itself partly AI-generated (§9.6), that its own citations degrade (§9.5), and that the red-team proposal shares the weaknesses it is meant to catch (§7.5). The paper implicates itself in the very failure mode it studies, and says so.</w:t>
      </w:r>
    </w:p>
    <w:p>
      <w:pPr>
        <w:pStyle w:val="ListBullet"/>
      </w:pPr>
      <w:r>
        <w:rPr>
          <w:b/>
        </w:rPr>
        <w:t>The core crux is correctly identified.</w:t>
      </w:r>
      <w:r>
        <w:t xml:space="preserve"> §12.1's claim that the score-plus-link pairing "does most of the work" because it makes a language model's weakest point checkable by a non-expert is the right insight, cleanly stated. This is the sentence the paper should be built around.</w:t>
      </w:r>
    </w:p>
    <w:p>
      <w:pPr>
        <w:pStyle w:val="ListBullet"/>
      </w:pPr>
      <w:r>
        <w:rPr>
          <w:b/>
        </w:rPr>
        <w:t>FINER is handled with care even while uncited.</w:t>
      </w:r>
      <w:r>
        <w:t xml:space="preserve"> §5.3 distinguishes partial from exact correspondence and refuses to claim the framework as origin — precisely the restraint the peer-review literature asks for. (The fix in Major 4 is to cite it, not to change the reasoning.)</w:t>
      </w:r>
    </w:p>
    <w:p>
      <w:pPr>
        <w:pStyle w:val="ListBullet"/>
      </w:pPr>
      <w:r>
        <w:rPr>
          <w:b/>
        </w:rPr>
        <w:t>Refuses to oversell.</w:t>
      </w:r>
      <w:r>
        <w:t xml:space="preserve"> §1.7 and §9 repeatedly downgrade the work to "a considered practitioner guide, not evidence of effectiveness." The claims and the evidence are matched — a discipline many stronger-sounding papers lack.</w:t>
      </w:r>
    </w:p>
    <w:p>
      <w:pPr>
        <w:pStyle w:val="Heading2"/>
      </w:pPr>
      <w:r>
        <w:t>Verdict</w:t>
      </w:r>
    </w:p>
    <w:p>
      <w:r>
        <w:rPr>
          <w:b/>
        </w:rPr>
        <w:t>Major revisions.</w:t>
      </w:r>
      <w:r>
        <w:t xml:space="preserve"> The paper's argument is sound and its stance is the right one; what stands between it and acceptance is not the thinking but the apparatus around it. The single highest-value revision is </w:t>
      </w:r>
      <w:r>
        <w:rPr>
          <w:b/>
        </w:rPr>
        <w:t>Major 2</w:t>
      </w:r>
      <w:r>
        <w:t>: build a verifiable reference section and correct the specific citation errors (SCIMUSE → arXiv:2405.17044 / ICML 2024, not NeurIPS; source or replace the 25% figure; state AGATHA's CIKM 2020 venue). A paper arguing that every AI-suggested citation must arrive with a score and a working link cannot itself circulate with domain-hint citations and a mis-attributed flagship example — meeting its own Section 5.5 standard is both the most damaging gap and the most fixable one. Settling the genre question (Major 1) is the close second, because it determines which bar the rest of the work is even held to.</w:t>
      </w:r>
    </w:p>
    <w:p>
      <w:pPr>
        <w:pStyle w:val="Heading2"/>
      </w:pPr>
      <w:r>
        <w:t>References</w:t>
      </w:r>
    </w:p>
    <w:p>
      <w:pPr>
        <w:pStyle w:val="ListNumber"/>
      </w:pPr>
      <w:r>
        <w:t>Gu, Xuemei, and Mario Krenn. "Generation and Human-Expert Evaluation of Interesting Research Ideas Using Knowledge Graphs and Large Language Models." arXiv preprint arXiv:2405.17044 (2024). OpenReview / ICML 2024. https://arxiv.org/abs/2405.17044</w:t>
      </w:r>
    </w:p>
    <w:p>
      <w:pPr>
        <w:pStyle w:val="ListNumber"/>
      </w:pPr>
      <w:r>
        <w:t xml:space="preserve">Sybrandt, Justin, Ilya Tyagin, Michael Shtutman, and Ilya Safro. "AGATHA: Automatic Graph Mining and Transformer Based Hypothesis Generation Approach." </w:t>
      </w:r>
      <w:r>
        <w:rPr>
          <w:i/>
        </w:rPr>
        <w:t>Proceedings of the 29th ACM International Conference on Information and Knowledge Management (CIKM '20)</w:t>
      </w:r>
      <w:r>
        <w:t>, 2020, pp. 2757–2764. https://dl.acm.org/doi/10.1145/3340531.3412684</w:t>
      </w:r>
    </w:p>
    <w:p>
      <w:pPr>
        <w:pStyle w:val="ListNumber"/>
      </w:pPr>
      <w:r>
        <w:t xml:space="preserve">Hulley, Stephen B., Steven R. Cummings, Warren S. Browner, Deborah G. Grady, and Thomas B. Newman. </w:t>
      </w:r>
      <w:r>
        <w:rPr>
          <w:i/>
        </w:rPr>
        <w:t>Designing Clinical Research.</w:t>
      </w:r>
      <w:r>
        <w:t xml:space="preserve"> 4th ed., Lippincott Williams &amp; Wilkins, 2013. (Source of the FINER criteria.)</w:t>
      </w:r>
    </w:p>
    <w:p>
      <w:pPr>
        <w:pStyle w:val="ListNumber"/>
      </w:pPr>
      <w:r>
        <w:t xml:space="preserve">Lewis, Patrick, et al. "Retrieval-Augmented Generation for Knowledge-Intensive NLP Tasks." </w:t>
      </w:r>
      <w:r>
        <w:rPr>
          <w:i/>
        </w:rPr>
        <w:t>Advances in Neural Information Processing Systems (NeurIPS)</w:t>
      </w:r>
      <w:r>
        <w:t>, 2020. https://arxiv.org/abs/2005.11401</w:t>
      </w:r>
    </w:p>
    <w:p>
      <w:r>
        <w:rPr>
          <w:i/>
        </w:rPr>
        <w:t>Delivery note: python-docx cannot emit native Word footnotes, so citations appear inline as [n] and are listed above per the peer-review skill's substitution convention.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