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Peer Review — *Digital Passport for Artworks: A Client-Side Prototype for Issuing, Verifying, and Revoking Artwork Passports*</w:t>
      </w:r>
    </w:p>
    <w:p>
      <w:r>
        <w:rPr>
          <w:b/>
        </w:rPr>
        <w:t>Reviewer role:</w:t>
      </w:r>
      <w:r>
        <w:t xml:space="preserve"> External referee, reviewing as a technically literate cultural-heritage and applied-security audience. The artefact is a working prototype plus its </w:t>
      </w:r>
      <w:r>
        <w:rPr>
          <w:rFonts w:ascii="Courier New" w:hAnsi="Courier New"/>
        </w:rPr>
        <w:t>README.md</w:t>
      </w:r>
      <w:r>
        <w:t>; in the absence of a separate report, the in-app explanatory text is treated as the written claim. Originally by Christine Lumen.</w:t>
      </w:r>
    </w:p>
    <w:p>
      <w:r>
        <w:rPr>
          <w:b/>
        </w:rPr>
        <w:t>Recommendation:</w:t>
      </w:r>
      <w:r>
        <w:t xml:space="preserve"> </w:t>
      </w:r>
      <w:r>
        <w:rPr>
          <w:b/>
        </w:rPr>
        <w:t>Major revisions</w:t>
      </w:r>
      <w:r>
        <w:t xml:space="preserve"> — for one routing defect and one attribution concern, not for the quality of the engineering, which is high and unusually well-documented.</w:t>
      </w:r>
    </w:p>
    <w:p>
      <w:r>
        <w:rPr>
          <w:b/>
        </w:rPr>
        <w:t>Date:</w:t>
      </w:r>
      <w:r>
        <w:t xml:space="preserve"> 22 July 2026</w:t>
      </w:r>
    </w:p>
    <w:p>
      <w:r>
        <w:rPr>
          <w:b/>
        </w:rPr>
        <w:t>Reviewed build:</w:t>
      </w:r>
      <w:r>
        <w:t xml:space="preserve"> </w:t>
      </w:r>
      <w:r>
        <w:rPr>
          <w:rFonts w:ascii="Courier New" w:hAnsi="Courier New"/>
        </w:rPr>
        <w:t>Ethical-Tech-CoLab/digital-passport-artworks</w:t>
      </w:r>
      <w:r>
        <w:t xml:space="preserve"> @ main (22 July 2026), </w:t>
      </w:r>
      <w:r>
        <w:rPr>
          <w:rFonts w:ascii="Courier New" w:hAnsi="Courier New"/>
        </w:rPr>
        <w:t>index.html</w:t>
      </w:r>
      <w:r>
        <w:t xml:space="preserve"> (1,665 lines), live at ethical-tech-colab.github.io/digital-passport-artworks/</w:t>
      </w:r>
    </w:p>
    <w:p>
      <w:pPr>
        <w:pStyle w:val="Heading2"/>
      </w:pPr>
      <w:r>
        <w:t>Summary of the submission</w:t>
      </w:r>
    </w:p>
    <w:p>
      <w:r>
        <w:t>A single-file, fully client-side application that walks an artwork through nine steps: upload with an auto-cropping subject detector; three independent fingerprints (SHA-256 of the file, perceptual dHash, angle count); a similarity search across the session using perceptual hashing, Harris corners with SIFT-style descriptors and RANSAC inlier counting, engineered feature vectors (colour histogram, orientation histogram, spatial layout), and optional MobileNet embeddings; a forensic signal fusion producing a forgery-risk score; a routing gate that auto-clears, sends to human review, or blocks; a three-tier ECDSA P-256 certificate chain generated in-browser; passport issuance signed by the issuing CA; a StatusList2021-style signed revocation bitstring; and full chain-of-trust verification with an editable passport JSON so a reader can simulate tampering. Nothing leaves the browser; there is no database, and refreshing clears state.</w:t>
      </w:r>
    </w:p>
    <w:p>
      <w:r>
        <w:t xml:space="preserve">The thesis, stated in the hero line, is </w:t>
      </w:r>
      <w:r>
        <w:rPr>
          <w:i/>
        </w:rPr>
        <w:t>"one upload, one continuous chain: vectors first, then trust"</w:t>
      </w:r>
      <w:r>
        <w:t xml:space="preserve"> — the claim that image identity should be established before, and independently of, any cryptographic assertion about it.</w:t>
      </w:r>
    </w:p>
    <w:p>
      <w:pPr>
        <w:pStyle w:val="Heading2"/>
      </w:pPr>
      <w:r>
        <w:t>Strengths</w:t>
      </w:r>
    </w:p>
    <w:p>
      <w:pPr>
        <w:pStyle w:val="ListBullet"/>
      </w:pPr>
      <w:r>
        <w:rPr>
          <w:b/>
        </w:rPr>
        <w:t>The in-app honesty about the forensic signals is the best I have seen in this portfolio, and it is visible to users, not buried in comments.</w:t>
      </w:r>
      <w:r>
        <w:t xml:space="preserve"> The interface labels the ELA signal "advisory only" and tells the reader, on screen, that "a broader test found innocent photos naturally span 1.5–4.2×; not trustworthy as an automated threshold yet." The spectral and noise-floor signals are labelled "weak/confounded in testing." The source comment explains that Laplacian variance differs 3× between two authentic photos "from subject matter alone, nothing to do with authenticity," and that ELA was rebuilt after the first version proved blind to a real splice. </w:t>
      </w:r>
      <w:r>
        <w:rPr>
          <w:b/>
        </w:rPr>
        <w:t>Three of the four signals are reported as falsified by the author's own testing, in the shipped UI.</w:t>
      </w:r>
      <w:r>
        <w:t xml:space="preserve"> That is what good empirical practice looks like, and it should be held up as the portfolio's example.</w:t>
      </w:r>
    </w:p>
    <w:p>
      <w:pPr>
        <w:pStyle w:val="ListBullet"/>
      </w:pPr>
      <w:r>
        <w:rPr>
          <w:b/>
        </w:rPr>
        <w:t>The cryptography is real and correctly implemented.</w:t>
      </w:r>
      <w:r>
        <w:t xml:space="preserve"> ECDSA P-256 via Web Crypto, SHA-256 fingerprints over raw exported public keys, canonical JSON (</w:t>
      </w:r>
      <w:r>
        <w:rPr>
          <w:rFonts w:ascii="Courier New" w:hAnsi="Courier New"/>
        </w:rPr>
        <w:t>JSON.stringify</w:t>
      </w:r>
      <w:r>
        <w:t xml:space="preserve"> with sorted keys) before signing so verification is stable, and a verifier that returns </w:t>
      </w:r>
      <w:r>
        <w:rPr>
          <w:rFonts w:ascii="Courier New" w:hAnsi="Courier New"/>
        </w:rPr>
        <w:t>false</w:t>
      </w:r>
      <w:r>
        <w:t xml:space="preserve"> on malformed signature bytes rather than throwing. The editable-passport tamper demo is the right pedagogical move: it lets a reader break the signature themselves and watch verification fail.</w:t>
      </w:r>
    </w:p>
    <w:p>
      <w:pPr>
        <w:pStyle w:val="ListBullet"/>
      </w:pPr>
      <w:r>
        <w:rPr>
          <w:b/>
        </w:rPr>
        <w:t>The layered similarity engine is genuinely more than a hash comparison.</w:t>
      </w:r>
      <w:r>
        <w:t xml:space="preserve"> Combining perceptual hashing (fast, robust to re-encoding), keypoint matching with RANSAC (robust to viewpoint change), engineered vectors, and optional learned embeddings is the correct architecture for "same artwork, different photograph," and the user-adjustable thresholds make the trade-off legible instead of hidden.</w:t>
      </w:r>
    </w:p>
    <w:p>
      <w:pPr>
        <w:pStyle w:val="ListBullet"/>
      </w:pPr>
      <w:r>
        <w:rPr>
          <w:b/>
        </w:rPr>
        <w:t>Scope discipline.</w:t>
      </w:r>
      <w:r>
        <w:t xml:space="preserve"> The prototype notice is explicit that duplicate detection is session-only, there is no persistent registry, and refreshing clears memory — stated at the top of the README, before the feature list.</w:t>
      </w:r>
    </w:p>
    <w:p>
      <w:pPr>
        <w:pStyle w:val="ListBullet"/>
      </w:pPr>
      <w:r>
        <w:rPr>
          <w:b/>
        </w:rPr>
        <w:t>A human-review gate exists at all.</w:t>
      </w:r>
      <w:r>
        <w:t xml:space="preserve"> Routing inconclusive cases to a person rather than auto-issuing is the right default for a domain where a false clear is a laundered object.</w:t>
      </w:r>
    </w:p>
    <w:p>
      <w:pPr>
        <w:pStyle w:val="ListBullet"/>
      </w:pPr>
      <w:r>
        <w:rPr>
          <w:b/>
        </w:rPr>
        <w:t>MIT licensed, single file, no build step.</w:t>
      </w:r>
      <w:r>
        <w:t xml:space="preserve"> It will still run in five years, which for a research prototype is worth more than most features.</w:t>
      </w:r>
    </w:p>
    <w:p>
      <w:pPr>
        <w:pStyle w:val="Heading2"/>
      </w:pPr>
      <w:r>
        <w:t>Major issues</w:t>
      </w:r>
    </w:p>
    <w:p>
      <w:pPr>
        <w:pStyle w:val="ListNumber"/>
      </w:pPr>
      <w:r>
        <w:rPr>
          <w:b/>
        </w:rPr>
        <w:t>The forgery-risk score is 70% "does this file contain EXIF or C2PA bytes," and that single binary determines the routing outcome.</w:t>
      </w:r>
      <w:r>
        <w:t xml:space="preserve"> The fusion weights are ELA 0.10, spectral 0.10, noise 0.10, provenance markers </w:t>
      </w:r>
      <w:r>
        <w:rPr>
          <w:b/>
        </w:rPr>
        <w:t>0.70</w:t>
      </w:r>
      <w:r>
        <w:t xml:space="preserve">, and </w:t>
      </w:r>
      <w:r>
        <w:rPr>
          <w:rFonts w:ascii="Courier New" w:hAnsi="Courier New"/>
        </w:rPr>
        <w:t>metaRisk</w:t>
      </w:r>
      <w:r>
        <w:t xml:space="preserve"> is binary: </w:t>
      </w:r>
      <w:r>
        <w:rPr>
          <w:rFonts w:ascii="Courier New" w:hAnsi="Courier New"/>
        </w:rPr>
        <w:t>(hasExif || hasC2pa) ? 0.1 : 0.65</w:t>
      </w:r>
      <w:r>
        <w:t>. Working out the reachable ranges against the gates (</w:t>
      </w:r>
      <w:r>
        <w:rPr>
          <w:rFonts w:ascii="Courier New" w:hAnsi="Courier New"/>
        </w:rPr>
        <w:t>auto-issue</w:t>
      </w:r>
      <w:r>
        <w:t xml:space="preserve"> at score &lt; 35, </w:t>
      </w:r>
      <w:r>
        <w:rPr>
          <w:rFonts w:ascii="Courier New" w:hAnsi="Courier New"/>
        </w:rPr>
        <w:t>auto-reject</w:t>
      </w:r>
      <w:r>
        <w:t xml:space="preserve"> at &gt; 75):</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File</w:t>
            </w:r>
          </w:p>
        </w:tc>
        <w:tc>
          <w:tcPr>
            <w:tcW w:type="dxa" w:w="2880"/>
          </w:tcPr>
          <w:p>
            <w:r>
              <w:rPr>
                <w:b/>
              </w:rPr>
              <w:t>Reachable score range</w:t>
            </w:r>
          </w:p>
        </w:tc>
        <w:tc>
          <w:tcPr>
            <w:tcW w:type="dxa" w:w="2880"/>
          </w:tcPr>
          <w:p>
            <w:r>
              <w:rPr>
                <w:b/>
              </w:rPr>
              <w:t>Outcome</w:t>
            </w:r>
          </w:p>
        </w:tc>
      </w:tr>
      <w:tr>
        <w:tc>
          <w:tcPr>
            <w:tcW w:type="dxa" w:w="2880"/>
          </w:tcPr>
          <w:p>
            <w:r>
              <w:t>EXIF or C2PA bytes present</w:t>
            </w:r>
          </w:p>
        </w:tc>
        <w:tc>
          <w:tcPr>
            <w:tcW w:type="dxa" w:w="2880"/>
          </w:tcPr>
          <w:p>
            <w:r>
              <w:rPr>
                <w:b/>
              </w:rPr>
              <w:t>7 – 37</w:t>
            </w:r>
          </w:p>
        </w:tc>
        <w:tc>
          <w:tcPr>
            <w:tcW w:type="dxa" w:w="2880"/>
          </w:tcPr>
          <w:p>
            <w:r>
              <w:t>Auto-issue in nearly all cases</w:t>
            </w:r>
          </w:p>
        </w:tc>
      </w:tr>
      <w:tr>
        <w:tc>
          <w:tcPr>
            <w:tcW w:type="dxa" w:w="2880"/>
          </w:tcPr>
          <w:p>
            <w:r>
              <w:t>Neither present</w:t>
            </w:r>
          </w:p>
        </w:tc>
        <w:tc>
          <w:tcPr>
            <w:tcW w:type="dxa" w:w="2880"/>
          </w:tcPr>
          <w:p>
            <w:r>
              <w:rPr>
                <w:b/>
              </w:rPr>
              <w:t>45 – 76</w:t>
            </w:r>
          </w:p>
        </w:tc>
        <w:tc>
          <w:tcPr>
            <w:tcW w:type="dxa" w:w="2880"/>
          </w:tcPr>
          <w:p>
            <w:r>
              <w:t>Human review at best; auto-issue unreachable</w:t>
            </w:r>
          </w:p>
        </w:tc>
      </w:tr>
    </w:tbl>
    <w:p/>
    <w:p>
      <w:r>
        <w:t xml:space="preserve">   The two ranges do not overlap. No combination of the three image-forensic signals can move a file across the gate — a file with EXIF cannot reach 45, and a file without it cannot reach 35. The routing decision is therefore </w:t>
      </w:r>
      <w:r>
        <w:rPr>
          <w:i/>
        </w:rPr>
        <w:t>entirely</w:t>
      </w:r>
      <w:r>
        <w:t xml:space="preserve"> a function of metadata presence, and the three signals the interface displays with percentage bars and "+N pt to score" contributions cannot change any outcome. Auto-reject is nearly unreachable too: it needs 76, i.e. no metadata </w:t>
      </w:r>
      <w:r>
        <w:rPr>
          <w:i/>
        </w:rPr>
        <w:t>and</w:t>
      </w:r>
      <w:r>
        <w:t xml:space="preserve"> all three self-declared-unreliable signals pegged at 1.0.</w:t>
      </w:r>
    </w:p>
    <w:p>
      <w:r>
        <w:t xml:space="preserve">   This is defensible reasoning taken one step too far — the author correctly concluded that the three image signals were unreliable and correctly down-weighted them, but the remaining 70% went to a signal that measures something other than authenticity. EXIF is stripped by essentially every social platform, messaging app, and CMS pipeline, so a museum uploading a platform-processed photograph of a genuine work is routed to review, while any file carrying stock camera metadata is cleared. </w:t>
      </w:r>
      <w:r>
        <w:rPr>
          <w:i/>
        </w:rPr>
        <w:t>Fix:</w:t>
      </w:r>
      <w:r>
        <w:t xml:space="preserve"> stop calling it a forgery-risk score. What the pipeline actually computes is a </w:t>
      </w:r>
      <w:r>
        <w:rPr>
          <w:i/>
        </w:rPr>
        <w:t>metadata-completeness</w:t>
      </w:r>
      <w:r>
        <w:t xml:space="preserve"> score with three advisory forensic readouts beside it. Rename it, route on metadata explicitly and say so, and let the three signals be what the UI already admits they are — information for a human, not terms in a gate. If a fused score is wanted later, it needs signals that survived testing.</w:t>
      </w:r>
    </w:p>
    <w:p>
      <w:pPr>
        <w:pStyle w:val="ListNumber"/>
      </w:pPr>
      <w:r>
        <w:rPr>
          <w:b/>
        </w:rPr>
        <w:t>A four-character substring bypasses the gate.</w:t>
      </w:r>
      <w:r>
        <w:t xml:space="preserve"> </w:t>
      </w:r>
      <w:r>
        <w:rPr>
          <w:rFonts w:ascii="Courier New" w:hAnsi="Courier New"/>
        </w:rPr>
        <w:t>hasProvenanceMarkers</w:t>
      </w:r>
      <w:r>
        <w:t xml:space="preserve"> decodes the first 200,000 bytes as latin1 and sets </w:t>
      </w:r>
      <w:r>
        <w:rPr>
          <w:rFonts w:ascii="Courier New" w:hAnsi="Courier New"/>
        </w:rPr>
        <w:t>hasC2pa = true</w:t>
      </w:r>
      <w:r>
        <w:t xml:space="preserve"> if the text contains </w:t>
      </w:r>
      <w:r>
        <w:rPr>
          <w:rFonts w:ascii="Courier New" w:hAnsi="Courier New"/>
        </w:rPr>
        <w:t>"jumb"</w:t>
      </w:r>
      <w:r>
        <w:t xml:space="preserve">, </w:t>
      </w:r>
      <w:r>
        <w:rPr>
          <w:rFonts w:ascii="Courier New" w:hAnsi="Courier New"/>
        </w:rPr>
        <w:t>"c2pa"</w:t>
      </w:r>
      <w:r>
        <w:t xml:space="preserve">, or </w:t>
      </w:r>
      <w:r>
        <w:rPr>
          <w:rFonts w:ascii="Courier New" w:hAnsi="Courier New"/>
        </w:rPr>
        <w:t>"C2PA"</w:t>
      </w:r>
      <w:r>
        <w:t xml:space="preserve"> </w:t>
      </w:r>
      <w:r>
        <w:rPr>
          <w:i/>
        </w:rPr>
        <w:t>anywhere</w:t>
      </w:r>
      <w:r>
        <w:t xml:space="preserve">. Nothing parses a JUMBF box structure and nothing verifies a C2PA manifest signature. Appending four bytes to any file — </w:t>
      </w:r>
      <w:r>
        <w:rPr>
          <w:rFonts w:ascii="Courier New" w:hAnsi="Courier New"/>
        </w:rPr>
        <w:t>printf 'c2pa' &gt;&gt; forgery.jpg</w:t>
      </w:r>
      <w:r>
        <w:t xml:space="preserve"> — drops </w:t>
      </w:r>
      <w:r>
        <w:rPr>
          <w:rFonts w:ascii="Courier New" w:hAnsi="Courier New"/>
        </w:rPr>
        <w:t>metaRisk</w:t>
      </w:r>
      <w:r>
        <w:t xml:space="preserve"> from 0.65 to 0.10 and moves the file from "human review" to "auto-issue." The same is true by accident: any file whose first 200KB happen to contain those characters in a filename, comment, colour-profile string, or arbitrary binary run is silently treated as provenance-bearing. This is the more serious half of issue 1, because it is not merely a weak proxy but a trivially controllable one, in the direction an adversary wants. It is also a strange asymmetry in a document that verifies its own ECDSA signatures rigorously: the app checks its own cryptography properly and accepts the industry provenance standard on a substring match. </w:t>
      </w:r>
      <w:r>
        <w:rPr>
          <w:i/>
        </w:rPr>
        <w:t>Fix:</w:t>
      </w:r>
      <w:r>
        <w:t xml:space="preserve"> either parse and cryptographically verify the C2PA manifest (the correct behaviour, and the only one that justifies the weight), or drop C2PA detection entirely and label the check what it is — "EXIF marker present." Do not ship a signal whose name implies verification when it performs a text search.</w:t>
      </w:r>
    </w:p>
    <w:p>
      <w:pPr>
        <w:pStyle w:val="ListNumber"/>
      </w:pPr>
      <w:r>
        <w:rPr>
          <w:b/>
        </w:rPr>
        <w:t>The certificate chain is issued in the names of real institutions.</w:t>
      </w:r>
      <w:r>
        <w:t xml:space="preserve"> The three tiers are labelled "AABC × Bocconi / ICOM-UNESCO Council" (governance root, self-signed), "Italy Root — Carabinieri TPC" (federated root), and "Museo Civico Archeologico" (issuing CA), and the custodian field on every issued passport is locked to that issuing CA's identity. The Carabinieri TPC is the actual Italian cultural-heritage police unit; ICOM and UNESCO are real bodies. A passport exported from the public demo is therefore a signed JSON document asserting that a real art-crime authority and a real museum stand behind an artwork record — with keys generated a moment earlier in the visitor's own browser. The README's prototype notice covers persistence and duplicate detection; it says nothing about this. For a tool whose entire purpose is that authority claims should be checkable, minting plausible documents in the name of unaffiliated heritage authorities is the one risk that must not be left to a reader's good sense. </w:t>
      </w:r>
      <w:r>
        <w:rPr>
          <w:i/>
        </w:rPr>
        <w:t>Fix:</w:t>
      </w:r>
      <w:r>
        <w:t xml:space="preserve"> replace all three with obviously fictional placeholders ("Example Governance Council", "Example National Root", "Example Municipal Museum"), and add a </w:t>
      </w:r>
      <w:r>
        <w:rPr>
          <w:rFonts w:ascii="Courier New" w:hAnsi="Courier New"/>
        </w:rPr>
        <w:t>"demo": true</w:t>
      </w:r>
      <w:r>
        <w:t xml:space="preserve"> field plus a human-readable </w:t>
      </w:r>
      <w:r>
        <w:rPr>
          <w:rFonts w:ascii="Courier New" w:hAnsi="Courier New"/>
        </w:rPr>
        <w:t>"warning"</w:t>
      </w:r>
      <w:r>
        <w:t xml:space="preserve"> string inside the signed payload itself, so the marker survives export and cannot be stripped without breaking the signature. If a real-institution scenario is pedagogically important, name it in the surrounding prose rather than inside the credential.</w:t>
      </w:r>
    </w:p>
    <w:p>
      <w:pPr>
        <w:pStyle w:val="ListNumber"/>
      </w:pPr>
      <w:r>
        <w:rPr>
          <w:b/>
        </w:rPr>
        <w:t>The self-signed root makes verification circular, and nothing says so.</w:t>
      </w:r>
      <w:r>
        <w:t xml:space="preserve"> The chain-of-trust verification confirms that the issuing CA's certificate was signed by the federated root, which was signed by the governance root, which signed itself — all three key pairs having been generated in the same page load. The cryptography is sound; the trust is vacuous, because the verifier is checking a chain against a root it just created. This is the standard and correct way to demo PKI, and the step-6 text does say the root is "self-signed" — but the verification panel presents a green pass without noting that a real deployment's security rests entirely on the root being distributed out of band and pinned. </w:t>
      </w:r>
      <w:r>
        <w:rPr>
          <w:i/>
        </w:rPr>
        <w:t>Fix:</w:t>
      </w:r>
      <w:r>
        <w:t xml:space="preserve"> one sentence in the verify step: "This chain verifies against a root generated in your browser. In a real registry the governance root's fingerprint would be published and pinned independently — verification is only as meaningful as the reader's prior knowledge of that fingerprint."</w:t>
      </w:r>
    </w:p>
    <w:p>
      <w:pPr>
        <w:pStyle w:val="Heading2"/>
      </w:pPr>
      <w:r>
        <w:t>Minor issues</w:t>
      </w:r>
    </w:p>
    <w:p>
      <w:pPr>
        <w:pStyle w:val="ListNumber"/>
      </w:pPr>
      <w:r>
        <w:rPr>
          <w:b/>
        </w:rPr>
        <w:t>ELA is doing reputational work the author has already disowned.</w:t>
      </w:r>
      <w:r>
        <w:t xml:space="preserve"> The interface correctly labels it advisory and reports that the innocent range (1.5–4.2×) swallows the "suspicious" threshold (1.6). Error Level Analysis is broadly regarded in the image-forensics literature as unreliable for tamper localisation on recompressed images [1][2]; the author reached that conclusion independently from four photographs, which is good practice. Consider citing the literature so the finding reads as a known result rather than a local one — and consider removing ELA from the score entirely rather than leaving it at 10%.</w:t>
      </w:r>
    </w:p>
    <w:p>
      <w:pPr>
        <w:pStyle w:val="ListNumber"/>
      </w:pPr>
      <w:r>
        <w:rPr>
          <w:b/>
        </w:rPr>
        <w:t>The calibration sample is four photographs and one synthetic splice.</w:t>
      </w:r>
      <w:r>
        <w:t xml:space="preserve"> The code comment says so plainly — "a small, single-test calibration — a real system would want this validated against many more known-tampered images, not just one." That candour is right; the number should also appear in the README, which currently describes the forensic step without any indication of how it was tuned.</w:t>
      </w:r>
    </w:p>
    <w:p>
      <w:pPr>
        <w:pStyle w:val="ListNumber"/>
      </w:pPr>
      <w:r>
        <w:rPr>
          <w:b/>
        </w:rPr>
        <w:t>"Angle count" is listed as one of three fingerprints</w:t>
      </w:r>
      <w:r>
        <w:t xml:space="preserve"> in the README with no explanation of what it is or why it identifies an artwork. Either describe it or fold it into the keypoint section.</w:t>
      </w:r>
    </w:p>
    <w:p>
      <w:pPr>
        <w:pStyle w:val="ListNumber"/>
      </w:pPr>
      <w:r>
        <w:rPr>
          <w:b/>
        </w:rPr>
        <w:t>Session-only detection makes the duplicate claim narrower than it reads.</w:t>
      </w:r>
      <w:r>
        <w:t xml:space="preserve"> "Uploading the same artwork twice (even from a different angle) is caught" is true within one browser session against images uploaded in that session. The prototype notice says this; the Key Features bullet, which is what gets quoted, does not.</w:t>
      </w:r>
    </w:p>
    <w:p>
      <w:pPr>
        <w:pStyle w:val="ListNumber"/>
      </w:pPr>
      <w:r>
        <w:rPr>
          <w:b/>
        </w:rPr>
        <w:t>No stated false-positive/false-negative rates for the similarity engine.</w:t>
      </w:r>
      <w:r>
        <w:t xml:space="preserve"> Three user-adjustable thresholds (duplicate, embedding, vector) ship with defaults that were presumably chosen by trial; what a reader needs is what happens at those defaults on a handful of known pairs and known non-pairs.</w:t>
      </w:r>
    </w:p>
    <w:p>
      <w:pPr>
        <w:pStyle w:val="ListNumber"/>
      </w:pPr>
      <w:r>
        <w:rPr>
          <w:b/>
        </w:rPr>
        <w:t>A third passport prototype in the same portfolio.</w:t>
      </w:r>
      <w:r>
        <w:t xml:space="preserve"> The CoLab now holds </w:t>
      </w:r>
      <w:r>
        <w:rPr>
          <w:rFonts w:ascii="Courier New" w:hAnsi="Courier New"/>
        </w:rPr>
        <w:t>arts-provenance-agent</w:t>
      </w:r>
      <w:r>
        <w:t xml:space="preserve"> (reviewed as </w:t>
      </w:r>
      <w:r>
        <w:rPr>
          <w:i/>
        </w:rPr>
        <w:t>The Digital Provenance Passport</w:t>
      </w:r>
      <w:r>
        <w:t xml:space="preserve">), </w:t>
      </w:r>
      <w:r>
        <w:rPr>
          <w:rFonts w:ascii="Courier New" w:hAnsi="Courier New"/>
        </w:rPr>
        <w:t>VANGO</w:t>
      </w:r>
      <w:r>
        <w:t xml:space="preserve"> (Digital Art Passport), and this. Each is defensible alone; together they need one page saying which question each answers and which is the line of development, or the portfolio reads as three overlapping demos.</w:t>
      </w:r>
    </w:p>
    <w:p>
      <w:pPr>
        <w:pStyle w:val="Heading2"/>
      </w:pPr>
      <w:r>
        <w:t>What's missing</w:t>
      </w:r>
    </w:p>
    <w:p>
      <w:pPr>
        <w:pStyle w:val="ListBullet"/>
      </w:pPr>
      <w:r>
        <w:rPr>
          <w:b/>
        </w:rPr>
        <w:t>A written report.</w:t>
      </w:r>
      <w:r>
        <w:t xml:space="preserve"> Every other project in this series has one; this prototype's reasoning currently lives in source comments and UI microcopy, where it is genuinely good and entirely uncitable. The material for a strong short paper — </w:t>
      </w:r>
      <w:r>
        <w:rPr>
          <w:i/>
        </w:rPr>
        <w:t>why three of four forensic signals failed and what that implies for automated authenticity scoring</w:t>
      </w:r>
      <w:r>
        <w:t xml:space="preserve"> — is already written inside </w:t>
      </w:r>
      <w:r>
        <w:rPr>
          <w:rFonts w:ascii="Courier New" w:hAnsi="Courier New"/>
        </w:rPr>
        <w:t>index.html</w:t>
      </w:r>
      <w:r>
        <w:t>.</w:t>
      </w:r>
    </w:p>
    <w:p>
      <w:pPr>
        <w:pStyle w:val="ListBullet"/>
      </w:pPr>
      <w:r>
        <w:rPr>
          <w:b/>
        </w:rPr>
        <w:t>A threat model.</w:t>
      </w:r>
      <w:r>
        <w:t xml:space="preserve"> The tool blocks duplicate issuance and routes risky files to review. It never states who the adversary is: a forger registering a copy, a seller re-registering a stolen original, a museum over-claiming provenance, or an attacker forging a passport. Issue 2 exists because no one asked what an adversary controls — and an adversary controls the file's bytes completely.</w:t>
      </w:r>
    </w:p>
    <w:p>
      <w:pPr>
        <w:pStyle w:val="ListBullet"/>
      </w:pPr>
      <w:r>
        <w:rPr>
          <w:b/>
        </w:rPr>
        <w:t>Any statement about what a passport asserts.</w:t>
      </w:r>
      <w:r>
        <w:t xml:space="preserve"> The signed record binds a fingerprint to a title, artist, and custodian, all typed into a form. Nothing checks that the person uploading has any relationship to the object. That is a fundamental and acceptable limitation of a client-side prototype, but it belongs in the README beside the crypto claims, because "real ECDSA" invites a reader to over-read what the signature covers.</w:t>
      </w:r>
    </w:p>
    <w:p>
      <w:pPr>
        <w:pStyle w:val="ListBullet"/>
      </w:pPr>
      <w:r>
        <w:rPr>
          <w:b/>
        </w:rPr>
        <w:t>Test fixtures.</w:t>
      </w:r>
      <w:r>
        <w:t xml:space="preserve"> Two or three sample images committed to the repository — an original, a re-photographed version, and a splice — would let anyone reproduce the calibration and would turn the four-photograph result into something a reader can check.</w:t>
      </w:r>
    </w:p>
    <w:p>
      <w:pPr>
        <w:pStyle w:val="Heading2"/>
      </w:pPr>
      <w:r>
        <w:t>Internal inconsistencies</w:t>
      </w:r>
    </w:p>
    <w:p>
      <w:pPr>
        <w:pStyle w:val="ListNumber"/>
      </w:pPr>
      <w:r>
        <w:rPr>
          <w:b/>
        </w:rPr>
        <w:t>The README presents four forensic checks as peers</w:t>
      </w:r>
      <w:r>
        <w:t>; the implementation weights one at 70% and the other three at 10% each, and the UI states that all three of those were unreliable in testing. A reader of the README alone would form a materially wrong picture of how the score is computed. (Major issue 1.)</w:t>
      </w:r>
    </w:p>
    <w:p>
      <w:pPr>
        <w:pStyle w:val="ListNumber"/>
      </w:pPr>
      <w:r>
        <w:rPr>
          <w:b/>
        </w:rPr>
        <w:t>"Forgery-risk scoring" versus what is measured.</w:t>
      </w:r>
      <w:r>
        <w:t xml:space="preserve"> The step is named for forgery; 70% of it is metadata presence, which is uncorrelated with whether an object is forged. The UI's own sub-labels are more accurate than the section heading above them.</w:t>
      </w:r>
    </w:p>
    <w:p>
      <w:pPr>
        <w:pStyle w:val="ListNumber"/>
      </w:pPr>
      <w:r>
        <w:rPr>
          <w:b/>
        </w:rPr>
        <w:t>"Real cryptography" and "C2PA detection" appear in the same feature list at the same apparent level of rigour.</w:t>
      </w:r>
      <w:r>
        <w:t xml:space="preserve"> One is a correct ECDSA implementation; the other is </w:t>
      </w:r>
      <w:r>
        <w:rPr>
          <w:rFonts w:ascii="Courier New" w:hAnsi="Courier New"/>
        </w:rPr>
        <w:t>ascii.includes('c2pa')</w:t>
      </w:r>
      <w:r>
        <w:t>. (Major issue 2.)</w:t>
      </w:r>
    </w:p>
    <w:p>
      <w:pPr>
        <w:pStyle w:val="ListNumber"/>
      </w:pPr>
      <w:r>
        <w:rPr>
          <w:b/>
        </w:rPr>
        <w:t>"No network calls" versus the optional MobileNet download.</w:t>
      </w:r>
      <w:r>
        <w:t xml:space="preserve"> The README does add "(except the optional MobileNet model)" in the same bullet — accurate, but the headline claim and its exception are doing opposite work in one sentence, and the similarity results differ depending on which path ran. Say which mode produced any reported result.</w:t>
      </w:r>
    </w:p>
    <w:p>
      <w:pPr>
        <w:pStyle w:val="ListNumber"/>
      </w:pPr>
      <w:r>
        <w:rPr>
          <w:b/>
        </w:rPr>
        <w:t>The routing gate advertises three outcomes; two are effectively reachable.</w:t>
      </w:r>
      <w:r>
        <w:t xml:space="preserve"> Auto-reject requires a score above 75 when the maximum attainable is 76, and only with every advisory signal pegged. Either widen the reject condition or document that the practical outcomes are clear/review.</w:t>
      </w:r>
    </w:p>
    <w:p>
      <w:pPr>
        <w:pStyle w:val="Heading2"/>
      </w:pPr>
      <w:r>
        <w:t>Prioritized next steps</w:t>
      </w:r>
    </w:p>
    <w:p>
      <w:r>
        <w:t>If there is time for only three things:</w:t>
      </w:r>
    </w:p>
    <w:p>
      <w:pPr>
        <w:pStyle w:val="ListNumber"/>
      </w:pPr>
      <w:r>
        <w:rPr>
          <w:b/>
        </w:rPr>
        <w:t>Fix the C2PA substring check and re-weight the score</w:t>
      </w:r>
      <w:r>
        <w:t xml:space="preserve"> (Major issues 1 and 2). Together these are one afternoon: parse or drop the C2PA claim, rename the score to what it measures, and route explicitly on metadata rather than through a fused number whose other terms cannot affect the outcome. Until this is done the demo teaches a lesson its own UI text contradicts.</w:t>
      </w:r>
    </w:p>
    <w:p>
      <w:pPr>
        <w:pStyle w:val="ListNumber"/>
      </w:pPr>
      <w:r>
        <w:rPr>
          <w:b/>
        </w:rPr>
        <w:t>De-name the certificate chain and stamp `"demo": true` inside the signed payload</w:t>
      </w:r>
      <w:r>
        <w:t xml:space="preserve"> (Major issue 3). Fifteen minutes, and it removes the only risk in this repository that could affect someone other than its user.</w:t>
      </w:r>
    </w:p>
    <w:p>
      <w:pPr>
        <w:pStyle w:val="ListNumber"/>
      </w:pPr>
      <w:r>
        <w:rPr>
          <w:b/>
        </w:rPr>
        <w:t>Write the two paragraphs the code comments already contain</w:t>
      </w:r>
      <w:r>
        <w:t xml:space="preserve"> — the forensic-signal falsification result and the self-signed-root caveat (Major issue 4) — into the README. This is the project's actual intellectual contribution and it is currently invisible to anyone who does not read the source.</w:t>
      </w:r>
    </w:p>
    <w:p>
      <w:r>
        <w:t xml:space="preserve">Then: cite the ELA literature, commit test fixtures, state the calibration sample size in the README, and write the one page positioning this against </w:t>
      </w:r>
      <w:r>
        <w:rPr>
          <w:rFonts w:ascii="Courier New" w:hAnsi="Courier New"/>
        </w:rPr>
        <w:t>arts-provenance-agent</w:t>
      </w:r>
      <w:r>
        <w:t xml:space="preserve"> and </w:t>
      </w:r>
      <w:r>
        <w:rPr>
          <w:rFonts w:ascii="Courier New" w:hAnsi="Courier New"/>
        </w:rPr>
        <w:t>VANGO</w:t>
      </w:r>
      <w:r>
        <w:t>.</w:t>
      </w:r>
    </w:p>
    <w:p>
      <w:pPr>
        <w:pStyle w:val="Heading2"/>
      </w:pPr>
      <w:r>
        <w:t>What to take forward</w:t>
      </w:r>
    </w:p>
    <w:p>
      <w:pPr>
        <w:pStyle w:val="ListBullet"/>
      </w:pPr>
      <w:r>
        <w:rPr>
          <w:b/>
        </w:rPr>
        <w:t>When you disprove your own signals, follow the conclusion all the way.</w:t>
      </w:r>
      <w:r>
        <w:t xml:space="preserve"> Testing three forensic signals and finding them confounded was excellent work; the mistake was assuming the weight had to go </w:t>
      </w:r>
      <w:r>
        <w:rPr>
          <w:i/>
        </w:rPr>
        <w:t>somewhere</w:t>
      </w:r>
      <w:r>
        <w:t>. A score with no trustworthy inputs should not be rescued by promoting the one input that was never tested — it should be retired, and its components shown to a human as evidence. The instinct to redistribute weight rather than delete the score is the thing to catch next time.</w:t>
      </w:r>
    </w:p>
    <w:p>
      <w:pPr>
        <w:pStyle w:val="ListBullet"/>
      </w:pPr>
      <w:r>
        <w:rPr>
          <w:b/>
        </w:rPr>
        <w:t>Name a check for what it does, not for what it stands in for.</w:t>
      </w:r>
      <w:r>
        <w:t xml:space="preserve"> "Provenance markers" sounds like verified provenance; it is a substring search. "Forgery-risk score" sounds like forensics; it is metadata presence. Both names would have made the defects harder to ship, because a function called </w:t>
      </w:r>
      <w:r>
        <w:rPr>
          <w:rFonts w:ascii="Courier New" w:hAnsi="Courier New"/>
        </w:rPr>
        <w:t>containsC2paSubstring</w:t>
      </w:r>
      <w:r>
        <w:t xml:space="preserve"> weighted at 70% invites the obvious question immediately.</w:t>
      </w:r>
    </w:p>
    <w:p>
      <w:pPr>
        <w:pStyle w:val="ListBullet"/>
      </w:pPr>
      <w:r>
        <w:rPr>
          <w:b/>
        </w:rPr>
        <w:t>Ask what the adversary controls before choosing a signal.</w:t>
      </w:r>
      <w:r>
        <w:t xml:space="preserve"> Every signal in this pipeline is computed from a file the adversary supplies in full. That single observation predicts issue 2 before any code is written, and it is the habit that separates a security prototype from a demo that resembles one.</w:t>
      </w:r>
    </w:p>
    <w:p>
      <w:pPr>
        <w:pStyle w:val="ListBullet"/>
      </w:pPr>
      <w:r>
        <w:rPr>
          <w:b/>
        </w:rPr>
        <w:t>A demo credential is still a credential.</w:t>
      </w:r>
      <w:r>
        <w:t xml:space="preserve"> Anything the system signs will outlive the page that explains it — exported, screenshotted, forwarded. Markers that matter belong inside the signed payload, where removing them breaks the signature, not in the surrounding prose.</w:t>
      </w:r>
    </w:p>
    <w:p>
      <w:pPr>
        <w:pStyle w:val="ListBullet"/>
      </w:pPr>
      <w:r>
        <w:rPr>
          <w:b/>
        </w:rPr>
        <w:t>The candour is the asset — publish it where it can be cited.</w:t>
      </w:r>
      <w:r>
        <w:t xml:space="preserve"> The UI microcopy in this prototype is more honest than most published methods sections. Move it into a document with a title and a date, and it becomes a contribution rather than a comment.</w:t>
      </w:r>
    </w:p>
    <w:p>
      <w:pPr>
        <w:pStyle w:val="Heading2"/>
      </w:pPr>
      <w:r>
        <w:t>Verdict</w:t>
      </w:r>
    </w:p>
    <w:p>
      <w:r>
        <w:rPr>
          <w:b/>
        </w:rPr>
        <w:t>Major revisions.</w:t>
      </w:r>
      <w:r>
        <w:t xml:space="preserve"> The engineering is strong, the cryptography is correct, and the empirical honesty about the forensic signals is exemplary and should be the portfolio's model. Two defects block it from being shown more widely: a routing gate decided entirely by a four-character substring an adversary controls, and a signed credential issued in the name of a real cultural-heritage police unit. Both are small fixes, neither touches the architecture, and the second should be done before the demo is linked anywhere public.</w:t>
      </w:r>
    </w:p>
    <w:p>
      <w:pPr>
        <w:pStyle w:val="Heading2"/>
      </w:pPr>
      <w:r>
        <w:t>References</w:t>
      </w:r>
    </w:p>
    <w:p>
      <w:pPr>
        <w:pStyle w:val="ListNumber"/>
      </w:pPr>
      <w:r>
        <w:t xml:space="preserve">Farid, Hany. </w:t>
      </w:r>
      <w:r>
        <w:rPr>
          <w:i/>
        </w:rPr>
        <w:t>Photo Forensics</w:t>
      </w:r>
      <w:r>
        <w:t>. MIT Press, 2016 — the standard treatment of error-level analysis and its limits on recompressed imagery; supports the author's own finding that innocent images span a wide block-ratio range.</w:t>
      </w:r>
    </w:p>
    <w:p>
      <w:pPr>
        <w:pStyle w:val="ListNumber"/>
      </w:pPr>
      <w:r>
        <w:t xml:space="preserve">Kee, Eric, Micah K. Johnson, and Hany Farid. "Digital Image Authentication from JPEG Headers." </w:t>
      </w:r>
      <w:r>
        <w:rPr>
          <w:i/>
        </w:rPr>
        <w:t>IEEE Transactions on Information Forensics and Security</w:t>
      </w:r>
      <w:r>
        <w:t>, vol. 6, no. 3, 2011, pp. 1066–1075 — on JPEG-header and compression-history evidence, and on why single-statistic thresholds generalise poorly across sources.</w:t>
      </w:r>
    </w:p>
    <w:p>
      <w:pPr>
        <w:pStyle w:val="ListNumber"/>
      </w:pPr>
      <w:r>
        <w:t xml:space="preserve">Coalition for Content Provenance and Authenticity (C2PA). </w:t>
      </w:r>
      <w:r>
        <w:rPr>
          <w:i/>
        </w:rPr>
        <w:t>C2PA Technical Specification</w:t>
      </w:r>
      <w:r>
        <w:t xml:space="preserve"> — defines the JUMBF box structure and the manifest signature validation that Major issue 2 recommends in place of the substring check. https://c2pa.org/specifications/</w:t>
      </w:r>
    </w:p>
    <w:p>
      <w:pPr>
        <w:pStyle w:val="ListNumber"/>
      </w:pPr>
      <w:r>
        <w:t xml:space="preserve">W3C. </w:t>
      </w:r>
      <w:r>
        <w:rPr>
          <w:i/>
        </w:rPr>
        <w:t>Bitstring Status List</w:t>
      </w:r>
      <w:r>
        <w:t xml:space="preserve"> (formerly StatusList2021) — the revocation model the prototype implements; worth citing in the README beside the "StatusList2021-style" claim so a reader can see how closely it conforms.</w:t>
      </w:r>
    </w:p>
    <w:p>
      <w:pPr>
        <w:pStyle w:val="ListNumber"/>
      </w:pPr>
      <w:r>
        <w:t xml:space="preserve">International Council of Museums. </w:t>
      </w:r>
      <w:r>
        <w:rPr>
          <w:i/>
        </w:rPr>
        <w:t>ICOM Code of Ethics for Museums</w:t>
      </w:r>
      <w:r>
        <w:t xml:space="preserve"> and the </w:t>
      </w:r>
      <w:r>
        <w:rPr>
          <w:i/>
        </w:rPr>
        <w:t>Red Lists</w:t>
      </w:r>
      <w:r>
        <w:t xml:space="preserve"> programme — relevant to Major issue 3 and to any future use of real institutional identities in issued credentials.</w:t>
      </w:r>
    </w:p>
    <w:p>
      <w:r>
        <w:rPr>
          <w:b/>
        </w:rPr>
        <w:t>[Verification Required]</w:t>
      </w:r>
      <w:r>
        <w:t xml:space="preserve"> Three items for the author to confirm rather than take from this review. (a) The score ranges in Major issue 1 were computed from the weights and thresholds as written in </w:t>
      </w:r>
      <w:r>
        <w:rPr>
          <w:rFonts w:ascii="Courier New" w:hAnsi="Courier New"/>
        </w:rPr>
        <w:t>index.html</w:t>
      </w:r>
      <w:r>
        <w:t xml:space="preserve">; I did not exercise the running app against real files, so a signal that saturates differently in practice would shift the endpoints (though not the non-overlap, which follows from the 0.70 weight alone). (b) The </w:t>
      </w:r>
      <w:r>
        <w:rPr>
          <w:rFonts w:ascii="Courier New" w:hAnsi="Courier New"/>
        </w:rPr>
        <w:t>printf 'c2pa' &gt;&gt; file.jpg</w:t>
      </w:r>
      <w:r>
        <w:t xml:space="preserve"> bypass follows from reading </w:t>
      </w:r>
      <w:r>
        <w:rPr>
          <w:rFonts w:ascii="Courier New" w:hAnsi="Courier New"/>
        </w:rPr>
        <w:t>hasProvenanceMarkers</w:t>
      </w:r>
      <w:r>
        <w:t>; it should be confirmed empirically in the browser before being treated as demonstrated. (c) I have not verified whether "AABC × Bocconi / ICOM-UNESCO Council" corresponds to an actual standing body, or whether any of the three named institutions were consulted about appearing in the demo — if they were, Major issue 3 becomes a documentation task rather than a substantive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